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7EAA85A6" w:rsidR="0029441D" w:rsidRPr="00E507F3" w:rsidRDefault="00D613F2" w:rsidP="007305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w:t>
      </w:r>
      <w:r w:rsidRPr="00E507F3">
        <w:rPr>
          <w:rFonts w:ascii="Times New Roman" w:hAnsi="Times New Roman" w:cs="Times New Roman"/>
          <w:sz w:val="28"/>
          <w:szCs w:val="28"/>
        </w:rPr>
        <w:t xml:space="preserve"> </w:t>
      </w:r>
      <w:r>
        <w:rPr>
          <w:rFonts w:ascii="Times New Roman" w:hAnsi="Times New Roman" w:cs="Times New Roman"/>
          <w:sz w:val="28"/>
          <w:szCs w:val="28"/>
        </w:rPr>
        <w:t>статьи</w:t>
      </w:r>
      <w:r w:rsidR="00730539" w:rsidRPr="00E507F3">
        <w:rPr>
          <w:rFonts w:ascii="Times New Roman" w:hAnsi="Times New Roman" w:cs="Times New Roman"/>
          <w:sz w:val="28"/>
          <w:szCs w:val="28"/>
        </w:rPr>
        <w:t xml:space="preserve"> 8</w:t>
      </w:r>
    </w:p>
    <w:p w14:paraId="246B053B" w14:textId="1C5167C7" w:rsidR="00F70321" w:rsidRPr="00304CD2" w:rsidRDefault="00556CF9" w:rsidP="00277AB2">
      <w:pPr>
        <w:spacing w:after="0" w:line="360" w:lineRule="auto"/>
        <w:ind w:firstLine="709"/>
        <w:jc w:val="center"/>
        <w:rPr>
          <w:rFonts w:ascii="Times New Roman" w:hAnsi="Times New Roman" w:cs="Times New Roman"/>
          <w:b/>
          <w:bCs/>
          <w:sz w:val="28"/>
          <w:szCs w:val="28"/>
          <w:lang w:val="en-US"/>
        </w:rPr>
      </w:pPr>
      <w:r w:rsidRPr="00304CD2">
        <w:rPr>
          <w:rFonts w:ascii="Times New Roman" w:hAnsi="Times New Roman" w:cs="Times New Roman"/>
          <w:b/>
          <w:bCs/>
          <w:sz w:val="28"/>
          <w:szCs w:val="28"/>
          <w:lang w:val="en-US"/>
        </w:rPr>
        <w:t>«</w:t>
      </w:r>
      <w:r w:rsidR="00177823" w:rsidRPr="00304CD2">
        <w:rPr>
          <w:rFonts w:ascii="Times New Roman" w:hAnsi="Times New Roman" w:cs="Times New Roman"/>
          <w:b/>
          <w:bCs/>
          <w:sz w:val="28"/>
          <w:szCs w:val="28"/>
          <w:lang w:val="en-US"/>
        </w:rPr>
        <w:t>Quantum Random Number Generators: Principles and Applications</w:t>
      </w:r>
      <w:r w:rsidRPr="00304CD2">
        <w:rPr>
          <w:rFonts w:ascii="Times New Roman" w:hAnsi="Times New Roman" w:cs="Times New Roman"/>
          <w:b/>
          <w:bCs/>
          <w:sz w:val="28"/>
          <w:szCs w:val="28"/>
          <w:lang w:val="en-US"/>
        </w:rPr>
        <w:t>»</w:t>
      </w:r>
      <w:r w:rsidR="001025FA" w:rsidRPr="00304CD2">
        <w:rPr>
          <w:rFonts w:ascii="Times New Roman" w:hAnsi="Times New Roman" w:cs="Times New Roman"/>
          <w:b/>
          <w:bCs/>
          <w:sz w:val="28"/>
          <w:szCs w:val="28"/>
          <w:lang w:val="en-US"/>
        </w:rPr>
        <w:t xml:space="preserve"> </w:t>
      </w:r>
    </w:p>
    <w:p w14:paraId="097FA07D" w14:textId="77777777" w:rsidR="00277AB2" w:rsidRPr="00277AB2" w:rsidRDefault="00277AB2" w:rsidP="00277AB2">
      <w:pPr>
        <w:spacing w:after="0" w:line="360" w:lineRule="auto"/>
        <w:ind w:firstLine="709"/>
        <w:jc w:val="both"/>
        <w:rPr>
          <w:rFonts w:ascii="Times New Roman" w:hAnsi="Times New Roman" w:cs="Times New Roman"/>
          <w:b/>
          <w:bCs/>
          <w:sz w:val="28"/>
          <w:szCs w:val="28"/>
          <w:lang w:val="en-US"/>
        </w:rPr>
      </w:pPr>
      <w:r w:rsidRPr="00277AB2">
        <w:rPr>
          <w:rFonts w:ascii="Times New Roman" w:hAnsi="Times New Roman" w:cs="Times New Roman"/>
          <w:b/>
          <w:bCs/>
          <w:sz w:val="28"/>
          <w:szCs w:val="28"/>
          <w:lang w:val="en-US"/>
        </w:rPr>
        <w:t>1. The headline of the article. The author. The publication data.</w:t>
      </w:r>
    </w:p>
    <w:p w14:paraId="2D485764" w14:textId="2D21F1D1"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The article for this review is a comprehensive scientific paper on quantum random number generators (QRNGs). Its headline is "Quantum Random Number Generators: Principles and Applications" (a descriptive title based on its full content). The work appears to be authored by a team of researchers, as suggested by the funding acknowledgments to Indian institutions like DRDO and DST. Based on the references cited, which include studies up to 2022, the article is a contemporary review, likely published in or around 2022.</w:t>
      </w:r>
    </w:p>
    <w:p w14:paraId="4B4D579E" w14:textId="77777777" w:rsidR="00277AB2" w:rsidRPr="00277AB2" w:rsidRDefault="00277AB2" w:rsidP="00277AB2">
      <w:pPr>
        <w:spacing w:after="0" w:line="360" w:lineRule="auto"/>
        <w:ind w:firstLine="709"/>
        <w:jc w:val="both"/>
        <w:rPr>
          <w:rFonts w:ascii="Times New Roman" w:hAnsi="Times New Roman" w:cs="Times New Roman"/>
          <w:b/>
          <w:bCs/>
          <w:sz w:val="28"/>
          <w:szCs w:val="28"/>
          <w:lang w:val="en-US"/>
        </w:rPr>
      </w:pPr>
      <w:r w:rsidRPr="00277AB2">
        <w:rPr>
          <w:rFonts w:ascii="Times New Roman" w:hAnsi="Times New Roman" w:cs="Times New Roman"/>
          <w:b/>
          <w:bCs/>
          <w:sz w:val="28"/>
          <w:szCs w:val="28"/>
          <w:lang w:val="en-US"/>
        </w:rPr>
        <w:t>2. The topic of the article and logical parts.</w:t>
      </w:r>
    </w:p>
    <w:p w14:paraId="06A10118" w14:textId="79DBFCFA"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The central topic of the article is Quantum Random Number Generators (QRNGs). Its purpose is to provide a thorough overview of the field, covering the principles, classification, various implementation methods, and the foundational quantum axioms behind true randomness generation. The article is logically divided into several clear sections:</w:t>
      </w:r>
    </w:p>
    <w:p w14:paraId="2AF345E9" w14:textId="0784F264"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Introduction: Establishes the critical need for true randomness and introduces the fundamental concepts of Pseudo-RNGs (PRNGs), True RNGs (TRNGs), and Quantum RNGs (QRNGs).</w:t>
      </w:r>
    </w:p>
    <w:p w14:paraId="5BBB3ECF" w14:textId="1253ABA4"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Quantifying Randomness: Discusses mathematical measures of randomness, such as Shannon and min-entropy.</w:t>
      </w:r>
    </w:p>
    <w:p w14:paraId="0631D0A6" w14:textId="2EEC66BB"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Classification and Detailed Review: This forms the core, with subsections on:</w:t>
      </w:r>
    </w:p>
    <w:p w14:paraId="5DCE52A8" w14:textId="3E2DD798"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Trusted Device QRNGs (optical and non-optical).</w:t>
      </w:r>
    </w:p>
    <w:p w14:paraId="469E3356" w14:textId="7FB4BCE1"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Self-testing QRNGs (device-independent protocols).</w:t>
      </w:r>
    </w:p>
    <w:p w14:paraId="0FF2EFB3" w14:textId="53BEFBB3"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Semi-self-testing QRNGs (source or measurement-device independent).</w:t>
      </w:r>
    </w:p>
    <w:p w14:paraId="0B3F511F" w14:textId="60CAD486"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Origin of Randomness: Explores the fundamental quantum axioms (like uncertainty and nonlocality) that enable QRNGs.</w:t>
      </w:r>
    </w:p>
    <w:p w14:paraId="04A5455F" w14:textId="6047F1FE"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lastRenderedPageBreak/>
        <w:t>Conclusion and Commercial Overview: Summarizes the state of the field and lists commercially available QRNG products.</w:t>
      </w:r>
    </w:p>
    <w:p w14:paraId="53630CD3" w14:textId="77777777" w:rsidR="00277AB2" w:rsidRPr="00277AB2" w:rsidRDefault="00277AB2" w:rsidP="00277AB2">
      <w:pPr>
        <w:spacing w:after="0" w:line="360" w:lineRule="auto"/>
        <w:ind w:firstLine="709"/>
        <w:jc w:val="both"/>
        <w:rPr>
          <w:rFonts w:ascii="Times New Roman" w:hAnsi="Times New Roman" w:cs="Times New Roman"/>
          <w:b/>
          <w:bCs/>
          <w:sz w:val="28"/>
          <w:szCs w:val="28"/>
          <w:lang w:val="en-US"/>
        </w:rPr>
      </w:pPr>
      <w:r w:rsidRPr="00277AB2">
        <w:rPr>
          <w:rFonts w:ascii="Times New Roman" w:hAnsi="Times New Roman" w:cs="Times New Roman"/>
          <w:b/>
          <w:bCs/>
          <w:sz w:val="28"/>
          <w:szCs w:val="28"/>
          <w:lang w:val="en-US"/>
        </w:rPr>
        <w:t>3. The content of the article. Summary.</w:t>
      </w:r>
    </w:p>
    <w:p w14:paraId="2383773F" w14:textId="431B8AE5"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The author begins by explaining the universal need for random numbers in cryptography, simulations, and daily life. A key distinction is drawn between Pseudo-Random Number Generators (PRNGs), which use deterministic algorithms and are predictable if the seed is known, and True Random Number Generators (TRNGs), which rely on unpredictable physical processes.</w:t>
      </w:r>
    </w:p>
    <w:p w14:paraId="76F2D48C" w14:textId="12AC4311"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The article positions Quantum RNGs (QRNGs) as a superior class of TRNGs. Their advantage lies in using quantum mechanical processes (like the inherent unpredictability of photon detection or vacuum fluctuations) as a randomness source. This allows for randomness that is not only truly non-deterministic but also certifiable based on the laws of quantum mechanics, unlike classical TRNGs which rely on complex, poorly understood physical noise.</w:t>
      </w:r>
    </w:p>
    <w:p w14:paraId="578B495B" w14:textId="7595AEC7"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Much attention is given to the detailed classification and working principles of different QRNGs:</w:t>
      </w:r>
    </w:p>
    <w:p w14:paraId="6C6EAF98" w14:textId="0A5EECB3"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Trusted Device QRNGs assume the equipment is honest and well-characterized. Examples include systems based on radioactive decay, electronic shot noise, and optical methods using single-photon detectors (measuring a photon's path, arrival time, or number) or macroscopic homodyne detection (measuring vacuum fluctuations).</w:t>
      </w:r>
    </w:p>
    <w:p w14:paraId="2D17C894" w14:textId="76AB51C9"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Self-testing QRNGs do not require trusted devices. Instead, they certify randomness "device-independently" by violating a Bell inequality, which proves the presence of quantum nonlocality and, consequently, genuine randomness.</w:t>
      </w:r>
    </w:p>
    <w:p w14:paraId="55C33B6E" w14:textId="256D8628"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Semi-self-testing QRNGs offer a practical middle ground, where only part of the setup (e.g., the source or the measurement device) needs to be trusted.</w:t>
      </w:r>
    </w:p>
    <w:p w14:paraId="50DBD505" w14:textId="75C06300"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The article further delves into the origin of randomness from the perspective of quantum theory's hierarchical axioms, explaining which QRNG types require only basic axioms (like uncertainty) and which need more advanced ones (like nonlocality).</w:t>
      </w:r>
    </w:p>
    <w:p w14:paraId="26AADC16" w14:textId="70A2F939"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lastRenderedPageBreak/>
        <w:t>It concludes by noting that while trusted QRNGs are already mature commercial products, self-testing devices represent the next generation for highest security. A comparative table of commercial QRNGs from companies like ID Quantique and Toshiba is provided, highlighting their speeds and certifications.</w:t>
      </w:r>
    </w:p>
    <w:p w14:paraId="03C9FC68" w14:textId="77777777" w:rsidR="00277AB2" w:rsidRPr="00277AB2" w:rsidRDefault="00277AB2" w:rsidP="00277AB2">
      <w:pPr>
        <w:spacing w:after="0" w:line="360" w:lineRule="auto"/>
        <w:ind w:firstLine="709"/>
        <w:jc w:val="both"/>
        <w:rPr>
          <w:rFonts w:ascii="Times New Roman" w:hAnsi="Times New Roman" w:cs="Times New Roman"/>
          <w:b/>
          <w:bCs/>
          <w:sz w:val="28"/>
          <w:szCs w:val="28"/>
          <w:lang w:val="en-US"/>
        </w:rPr>
      </w:pPr>
      <w:r w:rsidRPr="00277AB2">
        <w:rPr>
          <w:rFonts w:ascii="Times New Roman" w:hAnsi="Times New Roman" w:cs="Times New Roman"/>
          <w:b/>
          <w:bCs/>
          <w:sz w:val="28"/>
          <w:szCs w:val="28"/>
          <w:lang w:val="en-US"/>
        </w:rPr>
        <w:t>4. Your opinion (conclusion)</w:t>
      </w:r>
    </w:p>
    <w:p w14:paraId="42E78162" w14:textId="373FF439"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Considering the growing importance of cryptographic security, this article is highly relevant and timely. Its main achievement is providing a comprehensive, systematic, and clear classification of the entire QRNG landscape, from practical devices to foundational principles.</w:t>
      </w:r>
    </w:p>
    <w:p w14:paraId="3AEBD4EE" w14:textId="2B88F391" w:rsidR="00277AB2" w:rsidRPr="00277AB2"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The information is exceptionally well-structured, moving from basic concepts to advanced protocols, which makes a complex field more accessible. The vocabulary is precise and technical, as appropriate for a scientific review.</w:t>
      </w:r>
    </w:p>
    <w:p w14:paraId="3ECE00FA" w14:textId="04548DD9" w:rsidR="00D422AF" w:rsidRPr="00556CF9" w:rsidRDefault="00277AB2" w:rsidP="00277AB2">
      <w:pPr>
        <w:spacing w:after="0" w:line="360" w:lineRule="auto"/>
        <w:ind w:firstLine="709"/>
        <w:jc w:val="both"/>
        <w:rPr>
          <w:rFonts w:ascii="Times New Roman" w:hAnsi="Times New Roman" w:cs="Times New Roman"/>
          <w:sz w:val="28"/>
          <w:szCs w:val="28"/>
          <w:lang w:val="en-US"/>
        </w:rPr>
      </w:pPr>
      <w:r w:rsidRPr="00277AB2">
        <w:rPr>
          <w:rFonts w:ascii="Times New Roman" w:hAnsi="Times New Roman" w:cs="Times New Roman"/>
          <w:sz w:val="28"/>
          <w:szCs w:val="28"/>
          <w:lang w:val="en-US"/>
        </w:rPr>
        <w:t>I fully agree with the article's implicit argument that QRNGs, particularly self-testing ones, are crucial for future high-stakes security applications where the integrity of the randomness source cannot be taken for granted. The article is of great value because it not only explains how these generators work but also why their randomness is fundamentally different and more secure than that from classical sources. It successfully bridges theory and practical technology.</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D83"/>
    <w:rsid w:val="000A76F9"/>
    <w:rsid w:val="001025FA"/>
    <w:rsid w:val="001225A1"/>
    <w:rsid w:val="00177823"/>
    <w:rsid w:val="001D7237"/>
    <w:rsid w:val="001F620B"/>
    <w:rsid w:val="00221CAC"/>
    <w:rsid w:val="00277AB2"/>
    <w:rsid w:val="00291245"/>
    <w:rsid w:val="0029441D"/>
    <w:rsid w:val="002A10D2"/>
    <w:rsid w:val="00304CD2"/>
    <w:rsid w:val="00333C9C"/>
    <w:rsid w:val="0035634A"/>
    <w:rsid w:val="003F6C17"/>
    <w:rsid w:val="00453C05"/>
    <w:rsid w:val="004855F8"/>
    <w:rsid w:val="00537DC4"/>
    <w:rsid w:val="00556CF9"/>
    <w:rsid w:val="00570502"/>
    <w:rsid w:val="0061294C"/>
    <w:rsid w:val="00617029"/>
    <w:rsid w:val="00631D71"/>
    <w:rsid w:val="006E4DB9"/>
    <w:rsid w:val="00704ED1"/>
    <w:rsid w:val="00727AC5"/>
    <w:rsid w:val="00730539"/>
    <w:rsid w:val="00756905"/>
    <w:rsid w:val="007F596E"/>
    <w:rsid w:val="0087184C"/>
    <w:rsid w:val="008C21AE"/>
    <w:rsid w:val="009411E1"/>
    <w:rsid w:val="00967E67"/>
    <w:rsid w:val="00A44F27"/>
    <w:rsid w:val="00A83AF8"/>
    <w:rsid w:val="00B259A6"/>
    <w:rsid w:val="00B81B6F"/>
    <w:rsid w:val="00BA7054"/>
    <w:rsid w:val="00BB1182"/>
    <w:rsid w:val="00C2188A"/>
    <w:rsid w:val="00C27708"/>
    <w:rsid w:val="00C41FD2"/>
    <w:rsid w:val="00C87C3E"/>
    <w:rsid w:val="00D422AF"/>
    <w:rsid w:val="00D44998"/>
    <w:rsid w:val="00D613F2"/>
    <w:rsid w:val="00D85C84"/>
    <w:rsid w:val="00DC2D69"/>
    <w:rsid w:val="00DD4BCA"/>
    <w:rsid w:val="00DE4CAC"/>
    <w:rsid w:val="00E320EC"/>
    <w:rsid w:val="00E47B9E"/>
    <w:rsid w:val="00E507F3"/>
    <w:rsid w:val="00E53743"/>
    <w:rsid w:val="00E87C81"/>
    <w:rsid w:val="00F70321"/>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55</cp:revision>
  <dcterms:created xsi:type="dcterms:W3CDTF">2025-10-11T16:19:00Z</dcterms:created>
  <dcterms:modified xsi:type="dcterms:W3CDTF">2026-02-18T14:41:00Z</dcterms:modified>
</cp:coreProperties>
</file>