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line="240" w:lineRule="auto"/>
        <w:jc w:val="left"/>
        <w:rPr>
          <w:rFonts w:ascii="Helvetica" w:hAnsi="Helvetica"/>
          <w:outline w:val="0"/>
          <w:color w:val="333333"/>
          <w:sz w:val="36"/>
          <w:szCs w:val="36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00000">
                <w14:alpha w14:val="12941"/>
              </w14:srgbClr>
            </w14:solidFill>
          </w14:textFill>
        </w:rPr>
        <w:t>Введение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1f2024"/>
          <w:shd w:val="clear" w:color="auto" w:fill="ffffff"/>
          <w14:textFill>
            <w14:solidFill>
              <w14:srgbClr w14:val="20212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енераторы случайных чисел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ГСЧ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широко применяются в различных областях науки и технологий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Случайные числа необходимы в криптографии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численном моделировании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статистических исследованиях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рандомизированных алгоритмах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лотереях и т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д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>[1-4]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Интересной областью применения ГСЧ является прикладная лингвистика </w:t>
      </w:r>
      <w:r>
        <w:rPr>
          <w:rFonts w:ascii="Times New Roman" w:hAnsi="Times New Roman"/>
          <w:sz w:val="28"/>
          <w:szCs w:val="28"/>
          <w:rtl w:val="0"/>
          <w:lang w:val="en-US"/>
        </w:rPr>
        <w:t>[5]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</w:t>
      </w:r>
      <w:r>
        <w:rPr>
          <w:rFonts w:ascii="Times New Roman" w:hAnsi="Times New Roman" w:hint="default"/>
          <w:sz w:val="28"/>
          <w:szCs w:val="28"/>
          <w:rtl w:val="0"/>
        </w:rPr>
        <w:t>апример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 создании наборов данных для обработки естественного языка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анализе текста случайны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чис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ла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используются для устранения ошибки отбора и обеспечения строгой статистической независимости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ГСЧ гарантируют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что выборка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не имеет каких либо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предсказуемых закономерностей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Один из способов построения ГСЧ заключается в использовании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энтропи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полученн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ой</w:t>
      </w: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от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непредсказуемых физических процессов</w:t>
      </w:r>
      <w:r>
        <w:rPr>
          <w:rFonts w:ascii="Times New Roman" w:hAnsi="Times New Roman"/>
          <w:sz w:val="28"/>
          <w:szCs w:val="28"/>
          <w:rtl w:val="0"/>
          <w:lang w:val="ru-RU"/>
        </w:rPr>
        <w:t>,</w:t>
      </w: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таких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например как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атмосферный шум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радиоактивный распад или квантовые явления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 не из детерминированных алгоритмов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Одним из источников случайности для ГСЧ является  джиттер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[6-8] 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нестабильность или колебание времени задержки при передаче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сигнала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Большинство работ по синтезу ГСЧ посвящены воспроизведению двоичных последовательностей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Однако в последнее время появились статьи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которых предлагаются троичные ГСЧ </w:t>
      </w:r>
      <w:r>
        <w:rPr>
          <w:rFonts w:ascii="Times New Roman" w:hAnsi="Times New Roman"/>
          <w:sz w:val="28"/>
          <w:szCs w:val="28"/>
          <w:rtl w:val="0"/>
          <w:lang w:val="en-US"/>
        </w:rPr>
        <w:t>[</w:t>
      </w:r>
      <w:r>
        <w:rPr>
          <w:rFonts w:ascii="Times New Roman" w:hAnsi="Times New Roman"/>
          <w:sz w:val="28"/>
          <w:szCs w:val="28"/>
          <w:rtl w:val="0"/>
          <w:lang w:val="ru-RU"/>
        </w:rPr>
        <w:t>9-12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данной работе экспериментально исследуются статистические свойства кольцевого троичного генератора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Предварительные сведения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данной работе рассматривается кольцевой генератор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частный случай такого генератора представлен на Рис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.1),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составленных из одинаковых элементов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реализующих троичную функцию 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en-US"/>
        </w:rPr>
        <w:t>F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i w:val="1"/>
          <w:iCs w:val="1"/>
          <w:color w:val="000000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Выход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каждого внутреннего элемента 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подключен к одному из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его </w:t>
      </w:r>
      <w:r>
        <w:rPr>
          <w:rFonts w:ascii="Times New Roman" w:hAnsi="Times New Roman" w:hint="default"/>
          <w:sz w:val="28"/>
          <w:szCs w:val="28"/>
          <w:rtl w:val="0"/>
        </w:rPr>
        <w:t>входов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 также к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входу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следующего элемента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Выход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самого первого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элемента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подключен к одному из его входов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а к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другому его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входу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подключен выход самого последнего элемента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Выход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самого последнего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элемента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является выходом устройства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он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подключен к одному из входов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последнего элемента и к одному из входов самого первого элемента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После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того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как хотя бы один входной сигнал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какого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то элемента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изменится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выходной сигнал также может измениться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но это займет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какое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то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время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время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задержки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δ</m:t>
        </m:r>
      </m:oMath>
      <w:r>
        <w:rPr>
          <w:rFonts w:ascii="Times New Roman" w:hAnsi="Times New Roman"/>
          <w:i w:val="1"/>
          <w:iCs w:val="1"/>
          <w:sz w:val="28"/>
          <w:szCs w:val="28"/>
          <w:rtl w:val="0"/>
          <w:lang w:val="en-US"/>
        </w:rPr>
        <w:t>t.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170778</wp:posOffset>
            </wp:positionH>
            <wp:positionV relativeFrom="line">
              <wp:posOffset>203200</wp:posOffset>
            </wp:positionV>
            <wp:extent cx="5765800" cy="1447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Снимок экрана 2026-07-06 в 16.01.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Снимок экрана 2026-07-06 в 16.01.10.png" descr="Снимок экрана 2026-07-06 в 16.01.10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1447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Рис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.1.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Кольцевой генератор с тремя троичными элементами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работе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[9]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приведены теоретические результаты в предположении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что </w:t>
      </w:r>
    </w:p>
    <w:p>
      <w:pPr>
        <w:pStyle w:val="Основной текст"/>
        <w:rPr>
          <w:rFonts w:ascii="Times New Roman" w:cs="Times New Roman" w:hAnsi="Times New Roman" w:eastAsia="Times New Roman"/>
          <w:color w:val="000000"/>
          <w:sz w:val="28"/>
          <w:szCs w:val="28"/>
        </w:rPr>
      </w:pP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δ</m:t>
        </m:r>
      </m:oMath>
      <w:r>
        <w:rPr>
          <w:rFonts w:ascii="Times New Roman" w:hAnsi="Times New Roman"/>
          <w:i w:val="1"/>
          <w:iCs w:val="1"/>
          <w:sz w:val="28"/>
          <w:szCs w:val="28"/>
          <w:rtl w:val="0"/>
          <w:lang w:val="en-US"/>
        </w:rPr>
        <w:t>t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всех троичных элементов является случайной величиной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подчиняющейся экпоненциальному закону с параметром 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en-US"/>
        </w:rPr>
        <w:t>t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то есть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&lt;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1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-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e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.</m:t>
          </m:r>
        </m:oMath>
      </m:oMathPara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color w:val="000000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Доказано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что в этом случае подходящими троичными функциями для элементов генератора являются функции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</m:sSub>
      </m:oMath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2</m:t>
            </m:r>
          </m:sub>
        </m:sSub>
      </m:oMath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с таблицами…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Список литературы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</w:pP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lang w:val="en-US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M. Stipcevic and </w:t>
      </w:r>
      <w:r>
        <w:rPr>
          <w:rFonts w:ascii="Times New Roman" w:hAnsi="Times New Roman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Ç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 K. Ko</w:t>
      </w:r>
      <w:r>
        <w:rPr>
          <w:rFonts w:ascii="Times New Roman" w:hAnsi="Times New Roman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ç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, True Random Number Generators. Cham: Springer International Publishing, 2014. doi: 10.1007/978-3-319-10683-0.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lang w:val="en-US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P. -C. Liu, H. -C. Chang and C. -Y. Lee, "A True Random-Based Differential Power Analysis Countermeasure Circuit for an AES Engine," in </w:t>
      </w:r>
      <w:r>
        <w:rPr>
          <w:rFonts w:ascii="Times New Roman" w:hAnsi="Times New Roman"/>
          <w:i w:val="1"/>
          <w:iCs w:val="1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IEEE Transactions on Circuits and Systems II: Express Briefs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, vol. 59, no. 2, pp. 103-107, Feb. 2012, doi: 10.1109/TCSII.2011.2180094.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lang w:val="en-US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M. Thamrin, G. Witjaksono, A. Nuruddin and M. S. Abdullah, "A Photonic-based Random Number Generator for Cryptographic Application," 2008 Ninth ACIS International Conference on Software Engineering, Artificial Intelligence, Networking, and Parallel/Distributed Computing, Phuket, Thailand, 2008, pp. 356-361, doi: 10.1109/SNPD.2008.151.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lang w:val="en-US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V. Karthick, H. S and J. K, "True Random Number Generation on IBM Real-Time Quantum Computer for Secure and Unpredictable Cryptographic Applications," </w:t>
      </w:r>
      <w:r>
        <w:rPr>
          <w:rFonts w:ascii="Times New Roman" w:hAnsi="Times New Roman"/>
          <w:i w:val="1"/>
          <w:iCs w:val="1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2024 Second International Conference on Advances in Information Technology (ICAIT)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, Chikkamagaluru, Karnataka, India, 2024, pp. 1-6, doi: 10.1109/ICAIT61638.2024.10690780.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lang w:val="en-US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E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333333"/>
            </w14:solidFill>
          </w14:textFill>
        </w:rPr>
        <w:t>vert, Ste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ph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an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ie, 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How random is a corpus? The library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en-US"/>
          <w14:textOutline w14:w="7082" w14:cap="flat">
            <w14:solidFill>
              <w14:srgbClr w14:val="000000"/>
            </w14:solidFill>
            <w14:prstDash w14:val="solid"/>
            <w14:miter w14:lim="400000"/>
          </w14:textOutline>
          <w14:textFill>
            <w14:solidFill>
              <w14:srgbClr w14:val="333333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333333"/>
            </w14:solidFill>
          </w14:textFill>
        </w:rPr>
        <w:t>metaphor. Zeitschrift f</w:t>
      </w:r>
      <w:r>
        <w:rPr>
          <w:rFonts w:ascii="Times New Roman" w:hAnsi="Times New Roman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ü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333333"/>
            </w14:solidFill>
          </w14:textFill>
        </w:rPr>
        <w:t>r Anglistik und Amerikanistik,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2006,177-190,  doi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:</w:t>
      </w:r>
      <w:r>
        <w:rPr>
          <w:rStyle w:val="Hyperlink.0"/>
          <w:rFonts w:ascii="Times New Roman" w:cs="Times New Roman" w:hAnsi="Times New Roman" w:eastAsia="Times New Roman"/>
          <w:outline w:val="0"/>
          <w:color w:val="333333"/>
          <w:sz w:val="28"/>
          <w:szCs w:val="28"/>
          <w:shd w:val="clear" w:color="auto" w:fill="ffffff"/>
          <w14:textFill>
            <w14:solidFill>
              <w14:srgbClr w14:val="333333"/>
            </w14:solidFill>
          </w14:textFill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outline w:val="0"/>
          <w:color w:val="333333"/>
          <w:sz w:val="28"/>
          <w:szCs w:val="28"/>
          <w:shd w:val="clear" w:color="auto" w:fill="ffffff"/>
          <w14:textFill>
            <w14:solidFill>
              <w14:srgbClr w14:val="333333"/>
            </w14:solidFill>
          </w14:textFill>
        </w:rPr>
        <w:instrText xml:space="preserve"> HYPERLINK "https://doi.org/10.1515/zaa-2006-0208"</w:instrText>
      </w:r>
      <w:r>
        <w:rPr>
          <w:rStyle w:val="Hyperlink.0"/>
          <w:rFonts w:ascii="Times New Roman" w:cs="Times New Roman" w:hAnsi="Times New Roman" w:eastAsia="Times New Roman"/>
          <w:outline w:val="0"/>
          <w:color w:val="333333"/>
          <w:sz w:val="28"/>
          <w:szCs w:val="28"/>
          <w:shd w:val="clear" w:color="auto" w:fill="ffffff"/>
          <w14:textFill>
            <w14:solidFill>
              <w14:srgbClr w14:val="333333"/>
            </w14:solidFill>
          </w14:textFill>
        </w:rPr>
        <w:fldChar w:fldCharType="separate" w:fldLock="0"/>
      </w:r>
      <w:r>
        <w:rPr>
          <w:rStyle w:val="Hyperlink.0"/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10.1515/zaa-2006-0208</w:t>
      </w:r>
      <w:r>
        <w:rPr>
          <w:rFonts w:ascii="Times New Roman" w:cs="Times New Roman" w:hAnsi="Times New Roman" w:eastAsia="Times New Roman"/>
          <w:outline w:val="0"/>
          <w:color w:val="333333"/>
          <w:sz w:val="28"/>
          <w:szCs w:val="28"/>
          <w:shd w:val="clear" w:color="auto" w:fill="ffffff"/>
          <w14:textFill>
            <w14:solidFill>
              <w14:srgbClr w14:val="333333"/>
            </w14:solidFill>
          </w14:textFill>
        </w:rPr>
        <w:fldChar w:fldCharType="end" w:fldLock="0"/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lang w:val="pt-PT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Y. Liu </w:t>
      </w:r>
      <w:r>
        <w:rPr>
          <w:rFonts w:ascii="Times New Roman" w:hAnsi="Times New Roman"/>
          <w:i w:val="1"/>
          <w:iCs w:val="1"/>
          <w:outline w:val="0"/>
          <w:color w:val="333333"/>
          <w:sz w:val="28"/>
          <w:szCs w:val="28"/>
          <w:shd w:val="clear" w:color="auto" w:fill="ffffff"/>
          <w:rtl w:val="0"/>
          <w:lang w:val="nl-NL"/>
          <w14:textFill>
            <w14:solidFill>
              <w14:srgbClr w14:val="333333"/>
            </w14:solidFill>
          </w14:textFill>
        </w:rPr>
        <w:t>et al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., "High-Speed True Random Number Generator With Multiple Entropy Sources: Ring Oscillator Jitter and Random Telegraph Noise," in </w:t>
      </w:r>
      <w:r>
        <w:rPr>
          <w:rFonts w:ascii="Times New Roman" w:hAnsi="Times New Roman"/>
          <w:i w:val="1"/>
          <w:iCs w:val="1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IEEE Embedded Systems Letters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, vol. 18, no. 1, pp. 48-51, Feb. 2026, doi: 10.1109/LES.2025.3549110.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lang w:val="en-US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L. Benea, M. Carmona, F. Pebay-Peyroula and R. Wacquez, "On the Characterization of Jitter in Ring Oscillators using Allan variance for True Random Number Generator Applications," </w:t>
      </w:r>
      <w:r>
        <w:rPr>
          <w:rFonts w:ascii="Times New Roman" w:hAnsi="Times New Roman"/>
          <w:i w:val="1"/>
          <w:iCs w:val="1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2022 25th Euromicro Conference on Digital System Design (DSD)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, Maspalomas, Spain, 2022, pp. 534-538, doi: 10.1109/DSD57027.2022.00077.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lang w:val="en-US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T. -K. Dang, T. -. T. Hoang and C. -K. Pham, "A True Random Number Generator on FPGA with Jitter-Sampling by Ring Generator," </w:t>
      </w:r>
      <w:r>
        <w:rPr>
          <w:rFonts w:ascii="Times New Roman" w:hAnsi="Times New Roman"/>
          <w:i w:val="1"/>
          <w:iCs w:val="1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2024 Asian Hardware Oriented Security and Trust Symposium (AsianHOST)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, Kobe, Japan, 2024, pp. 1-6, doi: 10.1109/AsianHOST63913.2024.10838391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R. Latypov and E. Stolov, </w:t>
      </w:r>
      <w:r>
        <w:rPr>
          <w:rFonts w:ascii="Times New Roman" w:hAnsi="Times New Roman" w:hint="default"/>
          <w:outline w:val="0"/>
          <w:color w:val="333333"/>
          <w:sz w:val="28"/>
          <w:szCs w:val="28"/>
          <w:shd w:val="clear" w:color="auto" w:fill="ffffff"/>
          <w:rtl w:val="1"/>
          <w:lang w:val="ar-SA" w:bidi="ar-SA"/>
          <w14:textFill>
            <w14:solidFill>
              <w14:srgbClr w14:val="333333"/>
            </w14:solidFill>
          </w14:textFill>
        </w:rPr>
        <w:t>“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Theory of ternary jitter-based true random number generators composed of identical gates,</w:t>
      </w:r>
      <w:r>
        <w:rPr>
          <w:rFonts w:ascii="Times New Roman" w:hAnsi="Times New Roman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” </w:t>
      </w:r>
      <w:r>
        <w:rPr>
          <w:rFonts w:ascii="Times New Roman" w:hAnsi="Times New Roman"/>
          <w:i w:val="1"/>
          <w:iCs w:val="1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Scientists Notes of Kazan University. Series of Physics and Mathematics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, vol. 159, is. 2, pp. 246</w:t>
      </w:r>
      <w:r>
        <w:rPr>
          <w:rFonts w:ascii="Times New Roman" w:hAnsi="Times New Roman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–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262, 2017.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lang w:val="en-US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R. Latypov and E. Stolov, "True Random Generators and Hidden Transfer of Keys," </w:t>
      </w:r>
      <w:r>
        <w:rPr>
          <w:rFonts w:ascii="Times New Roman" w:hAnsi="Times New Roman"/>
          <w:i w:val="1"/>
          <w:iCs w:val="1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2019 International Russian Automation Conference (RusAutoCon)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333333"/>
            </w14:solidFill>
          </w14:textFill>
        </w:rPr>
        <w:t>, Sochi, Russia, 2019, pp. 1-5, doi: 10.1109/RUSAUTOCON.2019.8867784.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lang w:val="en-US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F. Khodayari, A. Amirany, M. H. Moaiyeri and K. Jafari, "A Variation-Aware Ternary True Random Number Generator Using Magnetic Tunnel Junction at Subcritical Current Regime," in </w:t>
      </w:r>
      <w:r>
        <w:rPr>
          <w:rFonts w:ascii="Times New Roman" w:hAnsi="Times New Roman"/>
          <w:i w:val="1"/>
          <w:iCs w:val="1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IEEE Transactions on Magnetics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, vol. 59, no. 3, pp. 1-8, March 2023, Art no. 3400208, doi: 10.1109/TMAG.2022.3233891. 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lang w:val="de-DE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333333"/>
            </w14:solidFill>
          </w14:textFill>
        </w:rPr>
        <w:t xml:space="preserve">H. Chen </w:t>
      </w:r>
      <w:r>
        <w:rPr>
          <w:rFonts w:ascii="Times New Roman" w:hAnsi="Times New Roman"/>
          <w:i w:val="1"/>
          <w:iCs w:val="1"/>
          <w:outline w:val="0"/>
          <w:color w:val="333333"/>
          <w:sz w:val="28"/>
          <w:szCs w:val="28"/>
          <w:shd w:val="clear" w:color="auto" w:fill="ffffff"/>
          <w:rtl w:val="0"/>
          <w:lang w:val="nl-NL"/>
          <w14:textFill>
            <w14:solidFill>
              <w14:srgbClr w14:val="333333"/>
            </w14:solidFill>
          </w14:textFill>
        </w:rPr>
        <w:t>et al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., "Binary and Ternary True Random Number Generators Based on Spin Orbit Torque," </w:t>
      </w:r>
      <w:r>
        <w:rPr>
          <w:rFonts w:ascii="Times New Roman" w:hAnsi="Times New Roman"/>
          <w:i w:val="1"/>
          <w:iCs w:val="1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2018 IEEE International Electron Devices Meeting (IEDM)</w:t>
      </w:r>
      <w:r>
        <w:rPr>
          <w:rFonts w:ascii="Times New Roman" w:hAnsi="Times New Roman"/>
          <w:outline w:val="0"/>
          <w:color w:val="333333"/>
          <w:sz w:val="28"/>
          <w:szCs w:val="28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, San Francisco, CA, USA, 2018, pp. 36.5.1-36.5.4, doi: 10.1109/IEDM.2018.8614638.</w:t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445" w:hanging="4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  <w:style w:type="character" w:styleId="Ссылка">
    <w:name w:val="Ссылка"/>
    <w:rPr>
      <w:u w:val="single"/>
    </w:rPr>
  </w:style>
  <w:style w:type="character" w:styleId="Hyperlink.0">
    <w:name w:val="Hyperlink.0"/>
    <w:basedOn w:val="Ссылка"/>
    <w:next w:val="Hyperlink.0"/>
    <w:rPr>
      <w:u w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