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00000" w14:textId="77777777" w:rsidR="00924B87" w:rsidRPr="00B22829" w:rsidRDefault="00DA545D">
      <w:pPr>
        <w:spacing w:after="0" w:line="360" w:lineRule="auto"/>
        <w:ind w:firstLine="709"/>
        <w:jc w:val="both"/>
        <w:rPr>
          <w:rFonts w:ascii="Times New Roman" w:hAnsi="Times New Roman"/>
          <w:b/>
          <w:sz w:val="28"/>
          <w:lang w:val="en-US"/>
        </w:rPr>
      </w:pPr>
      <w:r w:rsidRPr="00B22829">
        <w:rPr>
          <w:rFonts w:ascii="Times New Roman" w:hAnsi="Times New Roman"/>
          <w:b/>
          <w:sz w:val="28"/>
          <w:lang w:val="en-US"/>
        </w:rPr>
        <w:t>Chhetri, G., Somvanshi, S., Hebli, P., Brotee, S., &amp; Das, S. (2025). Post-Quantum Cryptography and Quantum-Safe Security: A Comprehensive Survey. arXiv preprint. DOI: 10.48550/arXiv.2510.10436.</w:t>
      </w:r>
    </w:p>
    <w:p w14:paraId="02000000" w14:textId="77777777" w:rsidR="00924B87" w:rsidRPr="00B22829" w:rsidRDefault="00924B87">
      <w:pPr>
        <w:spacing w:after="0" w:line="360" w:lineRule="auto"/>
        <w:ind w:firstLine="709"/>
        <w:jc w:val="both"/>
        <w:rPr>
          <w:rFonts w:ascii="Times New Roman" w:hAnsi="Times New Roman"/>
          <w:b/>
          <w:sz w:val="28"/>
          <w:lang w:val="en-US"/>
        </w:rPr>
      </w:pPr>
    </w:p>
    <w:p w14:paraId="03000000" w14:textId="77777777" w:rsidR="00924B87" w:rsidRPr="00B22829" w:rsidRDefault="00DA545D">
      <w:pPr>
        <w:spacing w:after="0" w:line="360" w:lineRule="auto"/>
        <w:ind w:firstLine="709"/>
        <w:jc w:val="both"/>
        <w:rPr>
          <w:rFonts w:ascii="Times New Roman" w:hAnsi="Times New Roman"/>
          <w:b/>
          <w:sz w:val="28"/>
          <w:lang w:val="en-US"/>
        </w:rPr>
      </w:pPr>
      <w:r w:rsidRPr="00B22829">
        <w:rPr>
          <w:rFonts w:ascii="Times New Roman" w:hAnsi="Times New Roman"/>
          <w:b/>
          <w:sz w:val="28"/>
          <w:lang w:val="en-US"/>
        </w:rPr>
        <w:t>Abstract</w:t>
      </w:r>
    </w:p>
    <w:p w14:paraId="04000000" w14:textId="17AEF692" w:rsidR="00924B87" w:rsidRDefault="00DA545D">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«Post-Quantum Cryptography and Quantum-Safe Security: A Comprehensive Survey» provides an up-to-date overview of the transition from theoretical post-quantum cryptography (PQC) to practical deployment, following NIST’s finalization of standards for ML‑KEM, ML‑DSA, and SLH‑DSA. The authors develop a comprehensive taxonomy across six cryptographic families—lattice‑based, code‑based, hash‑based, multivariate, isogeny‑based, and MPC‑in‑the‑Head—summarizing security assumptions, cryptanalysis results, and standardization status. The paper presents implementation‑grounded performance measurements and reviews hardware acceleration techniques (AVX2, FPGA/ASIC) with a focus on side‑channel resistance. Building upward, the survey examines protocol integration (TLS, DNSSEC), PKI certificate hygiene, and deployment in constrained environments (IoT, cloud, finance, blockchain). The authors emphasize crypto‑agility and hybrid migration strategies, concluding with open problems spanning parameter agility, leakage‑resilient implementations, and domain‑specific rollout playbooks. This survey serves as a practical reference for researchers and practitioners planning quantum‑safe systems, bridging standards, engineering, and operations.</w:t>
      </w:r>
    </w:p>
    <w:p w14:paraId="2E35FE0E" w14:textId="494E3AB0" w:rsidR="00DE3CCE" w:rsidRPr="00DE3CCE" w:rsidRDefault="00DE3CCE">
      <w:pPr>
        <w:spacing w:after="0" w:line="360" w:lineRule="auto"/>
        <w:ind w:firstLine="709"/>
        <w:jc w:val="both"/>
        <w:rPr>
          <w:rFonts w:ascii="Times New Roman" w:hAnsi="Times New Roman"/>
          <w:b/>
          <w:bCs/>
          <w:sz w:val="28"/>
        </w:rPr>
      </w:pPr>
      <w:r w:rsidRPr="00DE3CCE">
        <w:rPr>
          <w:rFonts w:ascii="Times New Roman" w:hAnsi="Times New Roman"/>
          <w:b/>
          <w:bCs/>
          <w:sz w:val="28"/>
        </w:rPr>
        <w:t>Перевод</w:t>
      </w:r>
    </w:p>
    <w:p w14:paraId="4D131DAD" w14:textId="15C6B63F" w:rsidR="00DE3CCE" w:rsidRPr="00DE3CCE" w:rsidRDefault="00DE3CCE">
      <w:pPr>
        <w:spacing w:after="0" w:line="360" w:lineRule="auto"/>
        <w:ind w:firstLine="709"/>
        <w:jc w:val="both"/>
        <w:rPr>
          <w:rFonts w:ascii="Times New Roman" w:hAnsi="Times New Roman"/>
          <w:sz w:val="28"/>
        </w:rPr>
      </w:pPr>
      <w:r w:rsidRPr="00DE3CCE">
        <w:rPr>
          <w:rFonts w:ascii="Times New Roman" w:hAnsi="Times New Roman"/>
          <w:sz w:val="28"/>
        </w:rPr>
        <w:t xml:space="preserve">В статье «Постквантовая криптография и квантово-безопасная защита: всесторонний обзор» представлен актуальный обзор перехода от теоретической постквантовой криптографии (PQC) к практическому внедрению после завершения разработки стандартов NIST для ML‑KEM, ML‑DSA и SLH‑DSA. Авторы разрабатывают всеобъемлющую таксономию по шести криптографическим семействам — решетчатым, основанным на коде, основанным на хэшировании, многомерным, основанным на изогении и </w:t>
      </w:r>
      <w:r w:rsidRPr="00DE3CCE">
        <w:rPr>
          <w:rFonts w:ascii="Times New Roman" w:hAnsi="Times New Roman"/>
          <w:sz w:val="28"/>
        </w:rPr>
        <w:lastRenderedPageBreak/>
        <w:t>MPC‑in‑the‑Head ‑, обобщающую предположения о безопасности, результаты криптоанализа и статус стандартизации. В статье представлены измерения производительности, основанные на реализации, и рассмотрены методы аппаратного ускорения (AVX2, FPGA/ASIC) с акцентом на устойчивость к побочным каналам. Далее в исследовании рассматривается интеграция протоколов (TLS, DNSSEC), соблюдение требований сертификата PKI и развертывание в ограниченных средах (IoT, облако, финансы, блокчейн). Авторы уделяют особое внимание гибкости криптографии и стратегиям гибридной миграции, завершая их открытыми проблемами, охватывающими гибкость параметров, реализации, устойчивые к утечкам, и правила развертывания для конкретной предметной области. Этот обзор служит практическим руководством для исследователей и практиков, планирующих квантово‑безопасные системы, объединяющих стандарты, проектирование и эксплуатацию.</w:t>
      </w:r>
    </w:p>
    <w:p w14:paraId="05000000" w14:textId="77777777" w:rsidR="00924B87" w:rsidRPr="00DE3CCE" w:rsidRDefault="00924B87">
      <w:pPr>
        <w:spacing w:after="0" w:line="360" w:lineRule="auto"/>
        <w:ind w:firstLine="709"/>
        <w:jc w:val="both"/>
        <w:rPr>
          <w:rFonts w:ascii="Times New Roman" w:hAnsi="Times New Roman"/>
          <w:sz w:val="28"/>
        </w:rPr>
      </w:pPr>
    </w:p>
    <w:p w14:paraId="06000000" w14:textId="77777777" w:rsidR="00924B87" w:rsidRPr="00DE3CCE" w:rsidRDefault="00DA545D">
      <w:pPr>
        <w:rPr>
          <w:rFonts w:ascii="Times New Roman" w:hAnsi="Times New Roman"/>
          <w:sz w:val="28"/>
        </w:rPr>
      </w:pPr>
      <w:r w:rsidRPr="00DE3CCE">
        <w:rPr>
          <w:rFonts w:ascii="Times New Roman" w:hAnsi="Times New Roman"/>
          <w:sz w:val="28"/>
        </w:rPr>
        <w:br w:type="page"/>
      </w:r>
    </w:p>
    <w:p w14:paraId="17F71331" w14:textId="77777777" w:rsidR="00B22829" w:rsidRPr="003428E0" w:rsidRDefault="00B22829" w:rsidP="00B22829">
      <w:pPr>
        <w:spacing w:after="0" w:line="360" w:lineRule="auto"/>
        <w:ind w:firstLine="709"/>
        <w:jc w:val="both"/>
        <w:rPr>
          <w:rFonts w:ascii="Times New Roman" w:hAnsi="Times New Roman"/>
          <w:b/>
          <w:bCs/>
          <w:sz w:val="28"/>
          <w:lang w:val="en-US"/>
        </w:rPr>
      </w:pPr>
      <w:r w:rsidRPr="003428E0">
        <w:rPr>
          <w:rFonts w:ascii="Times New Roman" w:hAnsi="Times New Roman"/>
          <w:b/>
          <w:bCs/>
          <w:sz w:val="28"/>
          <w:lang w:val="en-US"/>
        </w:rPr>
        <w:lastRenderedPageBreak/>
        <w:t>Zhang, C. (2025). State-of-the-Art Approaches to Enhancing Privacy Preservation of Machine Learning Datasets: A Survey. arXiv preprint. DOI: 10.48550/arXiv.2404.16847.</w:t>
      </w:r>
    </w:p>
    <w:p w14:paraId="7CA7F831" w14:textId="77777777" w:rsidR="00B22829" w:rsidRPr="003428E0" w:rsidRDefault="00B22829" w:rsidP="00B22829">
      <w:pPr>
        <w:spacing w:after="0" w:line="360" w:lineRule="auto"/>
        <w:ind w:firstLine="709"/>
        <w:jc w:val="both"/>
        <w:rPr>
          <w:rFonts w:ascii="Times New Roman" w:hAnsi="Times New Roman"/>
          <w:b/>
          <w:bCs/>
          <w:sz w:val="28"/>
          <w:lang w:val="en-US"/>
        </w:rPr>
      </w:pPr>
    </w:p>
    <w:p w14:paraId="21D79B70" w14:textId="52E9753F" w:rsidR="00B22829" w:rsidRPr="003428E0" w:rsidRDefault="00B22829" w:rsidP="00B22829">
      <w:pPr>
        <w:spacing w:after="0" w:line="360" w:lineRule="auto"/>
        <w:ind w:firstLine="709"/>
        <w:jc w:val="both"/>
        <w:rPr>
          <w:rFonts w:ascii="Times New Roman" w:hAnsi="Times New Roman"/>
          <w:b/>
          <w:bCs/>
          <w:sz w:val="28"/>
          <w:lang w:val="en-US"/>
        </w:rPr>
      </w:pPr>
      <w:r w:rsidRPr="003428E0">
        <w:rPr>
          <w:rFonts w:ascii="Times New Roman" w:hAnsi="Times New Roman"/>
          <w:b/>
          <w:bCs/>
          <w:sz w:val="28"/>
          <w:lang w:val="en-US"/>
        </w:rPr>
        <w:t>Abstract</w:t>
      </w:r>
    </w:p>
    <w:p w14:paraId="0A000000" w14:textId="49FF0A90" w:rsidR="00924B87" w:rsidRPr="00E24970" w:rsidRDefault="00DA545D" w:rsidP="0048732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 xml:space="preserve">The article «State-of-the-Art Approaches to Enhancing Privacy Preservation of Machine Learning Datasets: A Survey» examines the evolving landscape of privacy‑preserving machine learning (PPML) in response to growing privacy concerns in ML applications. The authors analyze the spectrum of threat models characterizing adversarial intentions including membership inference, attribute inference, and data reconstruction attacks. </w:t>
      </w:r>
      <w:r w:rsidR="00830D2A" w:rsidRPr="00830D2A">
        <w:rPr>
          <w:rFonts w:ascii="Times New Roman" w:hAnsi="Times New Roman"/>
          <w:sz w:val="28"/>
          <w:lang w:val="en-US"/>
        </w:rPr>
        <w:t xml:space="preserve">Moreover Zhang, C. et al discuss </w:t>
      </w:r>
      <w:r w:rsidRPr="00B22829">
        <w:rPr>
          <w:rFonts w:ascii="Times New Roman" w:hAnsi="Times New Roman"/>
          <w:sz w:val="28"/>
          <w:lang w:val="en-US"/>
        </w:rPr>
        <w:t>their implications for model confidentiality. The paper provides a comprehensive analysis of privacy leakage risks and countermeasures in both centralized and collaborative learning settings. It explores the fundamental trade‑off between data privacy and model utility, shedding light on privacy‑preserving techniques that leverage cryptographic methods (homomorphic encryption, secure multi‑party computation), differential privacy, and trusted execution environments.</w:t>
      </w:r>
      <w:r w:rsidR="00E24970" w:rsidRPr="00E24970">
        <w:rPr>
          <w:lang w:val="en-US"/>
        </w:rPr>
        <w:t xml:space="preserve"> </w:t>
      </w:r>
      <w:r w:rsidR="00E24970" w:rsidRPr="00E24970">
        <w:rPr>
          <w:rFonts w:ascii="Times New Roman" w:hAnsi="Times New Roman"/>
          <w:sz w:val="28"/>
          <w:lang w:val="en-US"/>
        </w:rPr>
        <w:t>The discussion extends the application of these techniques in sensitive domains such as telecommunications, financial technology, and surveillance, underscoring the critical role of PPML in ensuring the privacy and security of ML systems.</w:t>
      </w:r>
    </w:p>
    <w:p w14:paraId="56E39592" w14:textId="2F848D76" w:rsidR="00011298" w:rsidRPr="00011298" w:rsidRDefault="00011298" w:rsidP="00011298">
      <w:pPr>
        <w:spacing w:after="0" w:line="360" w:lineRule="auto"/>
        <w:ind w:firstLine="709"/>
        <w:jc w:val="both"/>
        <w:rPr>
          <w:rFonts w:ascii="Times New Roman" w:hAnsi="Times New Roman"/>
          <w:b/>
          <w:bCs/>
          <w:sz w:val="28"/>
        </w:rPr>
      </w:pPr>
      <w:r w:rsidRPr="00011298">
        <w:rPr>
          <w:rFonts w:ascii="Times New Roman" w:hAnsi="Times New Roman"/>
          <w:b/>
          <w:bCs/>
          <w:sz w:val="28"/>
        </w:rPr>
        <w:t>Перевод</w:t>
      </w:r>
    </w:p>
    <w:p w14:paraId="0B000000" w14:textId="73EDF414" w:rsidR="00924B87" w:rsidRPr="00011298" w:rsidRDefault="00011298" w:rsidP="00011298">
      <w:pPr>
        <w:spacing w:after="0" w:line="360" w:lineRule="auto"/>
        <w:ind w:firstLine="709"/>
        <w:jc w:val="both"/>
        <w:rPr>
          <w:rFonts w:ascii="Times New Roman" w:hAnsi="Times New Roman"/>
          <w:sz w:val="28"/>
        </w:rPr>
      </w:pPr>
      <w:r w:rsidRPr="00011298">
        <w:rPr>
          <w:rFonts w:ascii="Times New Roman" w:hAnsi="Times New Roman"/>
          <w:sz w:val="28"/>
        </w:rPr>
        <w:t xml:space="preserve">В статье «Современные подходы к повышению конфиденциальности наборов данных машинного обучения: обзор» рассматривается эволюционирующий ландшафт машинного обучения с сохранением конфиденциальности (PPML) в ответ на растущие проблемы конфиденциальности в приложениях ML. Авторы анализируют спектр моделей угроз, характеризующих враждебные намерения, включая атаки на основе членства, атрибутивного вывода и восстановления данных. Кроме того, Чжан, С. и др. обсуждают их влияние на конфиденциальность моделей. В документе представлен всесторонний анализ рисков утечки </w:t>
      </w:r>
      <w:r w:rsidRPr="00011298">
        <w:rPr>
          <w:rFonts w:ascii="Times New Roman" w:hAnsi="Times New Roman"/>
          <w:sz w:val="28"/>
        </w:rPr>
        <w:lastRenderedPageBreak/>
        <w:t>конфиденциальной информации и мер противодействия как в условиях централизованного, так и совместного обучения. В нем рассматривается фундаментальный компромисс между конфиденциальностью данных и полезностью модели, проливающий свет на методы сохранения конфиденциальности, которые используют криптографические методы (гомоморфное шифрование, безопасные многопользовательские вычисления), дифференциальную конфиденциальность и надежные среды выполнения. Обсуждение расширяет область применения этих методов в таких чувствительных областях, как телекоммуникации, финансовые технологии и наблюдение, подчеркивая важнейшую роль PPML в обеспечении конфиденциальности и безопасности систем ОД.</w:t>
      </w:r>
    </w:p>
    <w:p w14:paraId="0C000000" w14:textId="77777777" w:rsidR="00924B87" w:rsidRPr="00011298" w:rsidRDefault="00DA545D">
      <w:pPr>
        <w:rPr>
          <w:rFonts w:ascii="Times New Roman" w:hAnsi="Times New Roman"/>
          <w:sz w:val="28"/>
        </w:rPr>
      </w:pPr>
      <w:r w:rsidRPr="00011298">
        <w:rPr>
          <w:rFonts w:ascii="Times New Roman" w:hAnsi="Times New Roman"/>
          <w:sz w:val="28"/>
        </w:rPr>
        <w:br w:type="page"/>
      </w:r>
    </w:p>
    <w:p w14:paraId="0D86666B" w14:textId="77777777" w:rsidR="00E21D99" w:rsidRPr="00E21D99" w:rsidRDefault="00E21D99" w:rsidP="00E21D99">
      <w:pPr>
        <w:spacing w:after="0" w:line="360" w:lineRule="auto"/>
        <w:ind w:firstLine="709"/>
        <w:jc w:val="both"/>
        <w:rPr>
          <w:rFonts w:ascii="Times New Roman" w:hAnsi="Times New Roman"/>
          <w:b/>
          <w:bCs/>
          <w:sz w:val="28"/>
          <w:lang w:val="en-US"/>
        </w:rPr>
      </w:pPr>
      <w:r w:rsidRPr="00E21D99">
        <w:rPr>
          <w:rFonts w:ascii="Times New Roman" w:hAnsi="Times New Roman"/>
          <w:b/>
          <w:bCs/>
          <w:sz w:val="28"/>
          <w:lang w:val="en-US"/>
        </w:rPr>
        <w:lastRenderedPageBreak/>
        <w:t>Wahab, A., &amp; Mehmood, W. (2018). Survey of Consensus Protocols. arXiv preprint. DOI: 10.48550/arXiv.1810.03357.</w:t>
      </w:r>
    </w:p>
    <w:p w14:paraId="7813C16D" w14:textId="77777777" w:rsidR="00E21D99" w:rsidRPr="00E21D99" w:rsidRDefault="00E21D99" w:rsidP="00E21D99">
      <w:pPr>
        <w:spacing w:after="0" w:line="360" w:lineRule="auto"/>
        <w:ind w:firstLine="709"/>
        <w:jc w:val="both"/>
        <w:rPr>
          <w:rFonts w:ascii="Times New Roman" w:hAnsi="Times New Roman"/>
          <w:b/>
          <w:bCs/>
          <w:sz w:val="28"/>
          <w:lang w:val="en-US"/>
        </w:rPr>
      </w:pPr>
    </w:p>
    <w:p w14:paraId="241535D9" w14:textId="28F07965" w:rsidR="00E21D99" w:rsidRPr="00E21D99" w:rsidRDefault="00E21D99" w:rsidP="00E21D99">
      <w:pPr>
        <w:spacing w:after="0" w:line="360" w:lineRule="auto"/>
        <w:ind w:firstLine="709"/>
        <w:jc w:val="both"/>
        <w:rPr>
          <w:rFonts w:ascii="Times New Roman" w:hAnsi="Times New Roman"/>
          <w:b/>
          <w:bCs/>
          <w:sz w:val="28"/>
          <w:lang w:val="en-US"/>
        </w:rPr>
      </w:pPr>
      <w:r w:rsidRPr="00E21D99">
        <w:rPr>
          <w:rFonts w:ascii="Times New Roman" w:hAnsi="Times New Roman"/>
          <w:b/>
          <w:bCs/>
          <w:sz w:val="28"/>
          <w:lang w:val="en-US"/>
        </w:rPr>
        <w:t>Abstract</w:t>
      </w:r>
    </w:p>
    <w:p w14:paraId="10000000" w14:textId="3DED2563" w:rsidR="00924B87" w:rsidRDefault="00DA545D" w:rsidP="0048732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«Survey of Consensus Protocols» provides a systematic review of consensus mechanisms underlying distributed ledger technologies and blockchain systems. The authors begin by establishing the foundational role of consensus protocols in ensuring security, accountability, and trust in distributed networks without a central authority. The paper reviews different consensus protocols ranging from Proof of Work (PoW)—the mechanism behind Bitcoin—to Proof of Stake (PoS) variants, Byzantine Fault Tolerance (BFT) protocols, and their implementations across various platforms. The authors analyze each protocol’s properties, core concepts, and similar‑work comparisons, followed by a brief performance evaluation. The survey also discusses ongoing research directions, including efforts to make consensus protocols quantum‑resistant, fault‑tolerant, and energy‑efficient. This paper serves as a valuable resource for understanding the design space of consensus mechanisms and their suitability for specific use cases in distributed systems and blockchain applications.</w:t>
      </w:r>
    </w:p>
    <w:p w14:paraId="4DC01663" w14:textId="0EBA7016" w:rsidR="00553648" w:rsidRPr="00553648" w:rsidRDefault="00553648" w:rsidP="00487328">
      <w:pPr>
        <w:spacing w:after="0" w:line="360" w:lineRule="auto"/>
        <w:ind w:firstLine="709"/>
        <w:jc w:val="both"/>
        <w:rPr>
          <w:rFonts w:ascii="Times New Roman" w:hAnsi="Times New Roman"/>
          <w:b/>
          <w:bCs/>
          <w:sz w:val="28"/>
        </w:rPr>
      </w:pPr>
      <w:r w:rsidRPr="00553648">
        <w:rPr>
          <w:rFonts w:ascii="Times New Roman" w:hAnsi="Times New Roman"/>
          <w:b/>
          <w:bCs/>
          <w:sz w:val="28"/>
        </w:rPr>
        <w:t>Перевод</w:t>
      </w:r>
    </w:p>
    <w:p w14:paraId="216AA32F" w14:textId="1139047A" w:rsidR="00553648" w:rsidRPr="00553648" w:rsidRDefault="00553648" w:rsidP="00487328">
      <w:pPr>
        <w:spacing w:after="0" w:line="360" w:lineRule="auto"/>
        <w:ind w:firstLine="709"/>
        <w:jc w:val="both"/>
        <w:rPr>
          <w:rFonts w:ascii="Times New Roman" w:hAnsi="Times New Roman"/>
          <w:sz w:val="28"/>
        </w:rPr>
      </w:pPr>
      <w:r w:rsidRPr="00553648">
        <w:rPr>
          <w:rFonts w:ascii="Times New Roman" w:hAnsi="Times New Roman"/>
          <w:sz w:val="28"/>
        </w:rPr>
        <w:t xml:space="preserve">В статье «Обзор консенсусных протоколов» представлен систематический обзор механизмов консенсуса, лежащих в основе технологий распределенных реестров и блокчейн-систем. Авторы начинают с определения основополагающей роли консенсусных протоколов в обеспечении безопасности, подотчетности и доверия в распределенных сетях без центрального органа. В статье рассматриваются различные согласованные протоколы, начиная от Proof of Work (PoW) — механизма, лежащего в основе Биткоина, и заканчивая вариантами Proof of Stake (PoS), протоколами византийской отказоустойчивости (BFT) и их реализациями на различных платформах. Авторы анализируют свойства каждого протокола, основные концепции и проводят сравнение с аналогичными процессами, после чего </w:t>
      </w:r>
      <w:r w:rsidRPr="00553648">
        <w:rPr>
          <w:rFonts w:ascii="Times New Roman" w:hAnsi="Times New Roman"/>
          <w:sz w:val="28"/>
        </w:rPr>
        <w:lastRenderedPageBreak/>
        <w:t>дается краткая оценка эффективности. В обзоре также обсуждаются текущие направления исследований, в том числе усилия по созданию согласованных протоколов с квантовой устойчивостью, отказоустойчивостью и энергоэффективностью. Этот документ служит ценным источником для понимания пространства разработки механизмов консенсуса и их пригодности для конкретных случаев использования в распределенных системах и блокчейн-приложениях.</w:t>
      </w:r>
    </w:p>
    <w:p w14:paraId="11000000" w14:textId="77777777" w:rsidR="00924B87" w:rsidRPr="00553648" w:rsidRDefault="00924B87">
      <w:pPr>
        <w:spacing w:after="0" w:line="360" w:lineRule="auto"/>
        <w:ind w:firstLine="709"/>
        <w:jc w:val="both"/>
        <w:rPr>
          <w:rFonts w:ascii="Times New Roman" w:hAnsi="Times New Roman"/>
          <w:sz w:val="28"/>
        </w:rPr>
      </w:pPr>
    </w:p>
    <w:p w14:paraId="12000000" w14:textId="77777777" w:rsidR="00924B87" w:rsidRPr="00553648" w:rsidRDefault="00DA545D">
      <w:pPr>
        <w:rPr>
          <w:rFonts w:ascii="Times New Roman" w:hAnsi="Times New Roman"/>
          <w:sz w:val="28"/>
        </w:rPr>
      </w:pPr>
      <w:r w:rsidRPr="00553648">
        <w:rPr>
          <w:rFonts w:ascii="Times New Roman" w:hAnsi="Times New Roman"/>
          <w:sz w:val="28"/>
        </w:rPr>
        <w:br w:type="page"/>
      </w:r>
    </w:p>
    <w:p w14:paraId="78DA1B24" w14:textId="77777777" w:rsidR="00080D88" w:rsidRPr="00080D88" w:rsidRDefault="00080D88" w:rsidP="00080D88">
      <w:pPr>
        <w:spacing w:after="0" w:line="360" w:lineRule="auto"/>
        <w:ind w:firstLine="709"/>
        <w:jc w:val="both"/>
        <w:rPr>
          <w:rFonts w:ascii="Times New Roman" w:hAnsi="Times New Roman"/>
          <w:b/>
          <w:bCs/>
          <w:sz w:val="28"/>
          <w:lang w:val="en-US"/>
        </w:rPr>
      </w:pPr>
      <w:r w:rsidRPr="00080D88">
        <w:rPr>
          <w:rFonts w:ascii="Times New Roman" w:hAnsi="Times New Roman"/>
          <w:b/>
          <w:bCs/>
          <w:sz w:val="28"/>
          <w:lang w:val="en-US"/>
        </w:rPr>
        <w:lastRenderedPageBreak/>
        <w:t>Xiao, Y., Zhang, N., Lou, W., &amp; Hou, Y. T. (2019). A Survey of Distributed Consensus Protocols for Blockchain Networks. arXiv preprint. DOI: 10.48550/arXiv.1904.04098.</w:t>
      </w:r>
    </w:p>
    <w:p w14:paraId="6250237F" w14:textId="77777777" w:rsidR="00080D88" w:rsidRPr="00080D88" w:rsidRDefault="00080D88" w:rsidP="00080D88">
      <w:pPr>
        <w:spacing w:after="0" w:line="360" w:lineRule="auto"/>
        <w:ind w:firstLine="709"/>
        <w:jc w:val="both"/>
        <w:rPr>
          <w:rFonts w:ascii="Times New Roman" w:hAnsi="Times New Roman"/>
          <w:b/>
          <w:bCs/>
          <w:sz w:val="28"/>
          <w:lang w:val="en-US"/>
        </w:rPr>
      </w:pPr>
    </w:p>
    <w:p w14:paraId="6D6EBD7A" w14:textId="77777777" w:rsidR="00080D88" w:rsidRPr="00080D88" w:rsidRDefault="00080D88" w:rsidP="00080D88">
      <w:pPr>
        <w:spacing w:after="0" w:line="360" w:lineRule="auto"/>
        <w:ind w:firstLine="709"/>
        <w:jc w:val="both"/>
        <w:rPr>
          <w:rFonts w:ascii="Times New Roman" w:hAnsi="Times New Roman"/>
          <w:b/>
          <w:bCs/>
          <w:sz w:val="28"/>
          <w:lang w:val="en-US"/>
        </w:rPr>
      </w:pPr>
      <w:r w:rsidRPr="00080D88">
        <w:rPr>
          <w:rFonts w:ascii="Times New Roman" w:hAnsi="Times New Roman"/>
          <w:b/>
          <w:bCs/>
          <w:sz w:val="28"/>
          <w:lang w:val="en-US"/>
        </w:rPr>
        <w:t>Abstract</w:t>
      </w:r>
    </w:p>
    <w:p w14:paraId="16000000" w14:textId="5C3C4430" w:rsidR="00924B87" w:rsidRDefault="00DA545D" w:rsidP="00080D8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«A Survey of Distributed Consensus Protocols for Blockchain Networks» presents a comprehensive review and analysis of state‑of‑the‑art consensus protocols for blockchain networks. The authors identify five core components of blockchain consensus—block proposal, block validation, information propagation, block finalization, and incentive mechanism—and use this framework to systematically analyze a wide spectrum of protocols. The survey covers Nakamoto consensus (PoW) and its modifications, Proof of Stake variants, Practical Byzantine Fault Tolerance (PBFT) and its derivatives, as well as emerging directed acyclic graph (DAG)‑based protocols. Each protocol is examined with respect to its fault tolerance assumptions, security properties, scalability characteristics, and inherent trade‑offs. The authors provide vulnerability analyses and performance comparisons across key metrics, offering new insights into the fundamental differences between proposals. The paper concludes with a tutorial section and quantitative comparison, making it a valuable resource for blockchain developers and researchers designing future protocols.</w:t>
      </w:r>
    </w:p>
    <w:p w14:paraId="0F10CC2B" w14:textId="00105D4F" w:rsidR="00BC0DB4" w:rsidRPr="00BC0DB4" w:rsidRDefault="00BC0DB4" w:rsidP="00080D88">
      <w:pPr>
        <w:spacing w:after="0" w:line="360" w:lineRule="auto"/>
        <w:ind w:firstLine="709"/>
        <w:jc w:val="both"/>
        <w:rPr>
          <w:rFonts w:ascii="Times New Roman" w:hAnsi="Times New Roman"/>
          <w:b/>
          <w:bCs/>
          <w:sz w:val="28"/>
        </w:rPr>
      </w:pPr>
      <w:r w:rsidRPr="00BC0DB4">
        <w:rPr>
          <w:rFonts w:ascii="Times New Roman" w:hAnsi="Times New Roman"/>
          <w:b/>
          <w:bCs/>
          <w:sz w:val="28"/>
        </w:rPr>
        <w:t>Перевод</w:t>
      </w:r>
    </w:p>
    <w:p w14:paraId="0ED8441E" w14:textId="7A2FB2AF" w:rsidR="00BC0DB4" w:rsidRPr="00BC0DB4" w:rsidRDefault="00BC0DB4" w:rsidP="00080D88">
      <w:pPr>
        <w:spacing w:after="0" w:line="360" w:lineRule="auto"/>
        <w:ind w:firstLine="709"/>
        <w:jc w:val="both"/>
        <w:rPr>
          <w:rFonts w:ascii="Times New Roman" w:hAnsi="Times New Roman"/>
          <w:sz w:val="28"/>
        </w:rPr>
      </w:pPr>
      <w:r w:rsidRPr="00BC0DB4">
        <w:rPr>
          <w:rFonts w:ascii="Times New Roman" w:hAnsi="Times New Roman"/>
          <w:sz w:val="28"/>
        </w:rPr>
        <w:t xml:space="preserve">В статье «Обзор распределенных консенсусных протоколов для блокчейн‑сетей» представлен всесторонний обзор и анализ современных консенсусных протоколов для блокчейн‑сетей. Авторы выделяют пять основных компонентов блокчейн—консенсуса — предложение блока, проверка блока, распространение информации, финализация блока и механизм стимулирования - и используют эту структуру для систематического анализа широкого спектра протоколов. Обзор охватывает консенсус Накамото (PoW) и его модификации, варианты Proof of Stake, практическую византийскую отказоустойчивость (PBFT) и ее производные, а также новые </w:t>
      </w:r>
      <w:r w:rsidRPr="00BC0DB4">
        <w:rPr>
          <w:rFonts w:ascii="Times New Roman" w:hAnsi="Times New Roman"/>
          <w:sz w:val="28"/>
        </w:rPr>
        <w:lastRenderedPageBreak/>
        <w:t>протоколы на основе направленных ациклических графов (DAG). Каждый протокол проверяется на предмет его отказоустойчивости, свойств безопасности, характеристик масштабируемости и присущих им компромиссов. Авторы проводят анализ уязвимостей и сравнивают производительность по ключевым показателям, что позволяет по-новому взглянуть на фундаментальные различия между предложениями. Статья завершается учебным разделом и количественным сравнением, что делает ее ценным ресурсом для разработчиков блокчейна и исследователей, разрабатывающих будущие протоколы.</w:t>
      </w:r>
    </w:p>
    <w:p w14:paraId="17000000" w14:textId="77777777" w:rsidR="00924B87" w:rsidRPr="00BC0DB4" w:rsidRDefault="00924B87">
      <w:pPr>
        <w:spacing w:after="0" w:line="360" w:lineRule="auto"/>
        <w:ind w:firstLine="709"/>
        <w:jc w:val="both"/>
        <w:rPr>
          <w:rFonts w:ascii="Times New Roman" w:hAnsi="Times New Roman"/>
          <w:sz w:val="28"/>
        </w:rPr>
      </w:pPr>
    </w:p>
    <w:p w14:paraId="18000000" w14:textId="77777777" w:rsidR="00924B87" w:rsidRPr="00BC0DB4" w:rsidRDefault="00DA545D">
      <w:pPr>
        <w:rPr>
          <w:rFonts w:ascii="Times New Roman" w:hAnsi="Times New Roman"/>
          <w:sz w:val="28"/>
        </w:rPr>
      </w:pPr>
      <w:r w:rsidRPr="00BC0DB4">
        <w:rPr>
          <w:rFonts w:ascii="Times New Roman" w:hAnsi="Times New Roman"/>
          <w:sz w:val="28"/>
        </w:rPr>
        <w:br w:type="page"/>
      </w:r>
    </w:p>
    <w:p w14:paraId="669F246C" w14:textId="77777777" w:rsidR="00C82403" w:rsidRPr="00C82403" w:rsidRDefault="00C82403" w:rsidP="00C82403">
      <w:pPr>
        <w:spacing w:after="0" w:line="360" w:lineRule="auto"/>
        <w:ind w:firstLine="709"/>
        <w:jc w:val="both"/>
        <w:rPr>
          <w:rFonts w:ascii="Times New Roman" w:hAnsi="Times New Roman"/>
          <w:b/>
          <w:bCs/>
          <w:sz w:val="28"/>
          <w:lang w:val="en-US"/>
        </w:rPr>
      </w:pPr>
      <w:r w:rsidRPr="00C82403">
        <w:rPr>
          <w:rFonts w:ascii="Times New Roman" w:hAnsi="Times New Roman"/>
          <w:b/>
          <w:bCs/>
          <w:sz w:val="28"/>
          <w:lang w:val="en-US"/>
        </w:rPr>
        <w:lastRenderedPageBreak/>
        <w:t>Ustimenko, V. (2024). On historical Multivariate Cryptosystems and their restorations as instruments of Post-Quantum Cryptography. IACR Cryptology ePrint Archive, Report 2024/091. DOI: 10.48550/arXiv.2404.16847.</w:t>
      </w:r>
    </w:p>
    <w:p w14:paraId="024543F7" w14:textId="77777777" w:rsidR="00C82403" w:rsidRPr="00C82403" w:rsidRDefault="00C82403" w:rsidP="00C82403">
      <w:pPr>
        <w:spacing w:after="0" w:line="360" w:lineRule="auto"/>
        <w:ind w:firstLine="709"/>
        <w:jc w:val="both"/>
        <w:rPr>
          <w:rFonts w:ascii="Times New Roman" w:hAnsi="Times New Roman"/>
          <w:b/>
          <w:bCs/>
          <w:sz w:val="28"/>
          <w:lang w:val="en-US"/>
        </w:rPr>
      </w:pPr>
    </w:p>
    <w:p w14:paraId="3C750B4C" w14:textId="364D1074" w:rsidR="00C82403" w:rsidRPr="00C82403" w:rsidRDefault="00C82403" w:rsidP="00C82403">
      <w:pPr>
        <w:spacing w:after="0" w:line="360" w:lineRule="auto"/>
        <w:ind w:firstLine="709"/>
        <w:jc w:val="both"/>
        <w:rPr>
          <w:rFonts w:ascii="Times New Roman" w:hAnsi="Times New Roman"/>
          <w:b/>
          <w:bCs/>
          <w:sz w:val="28"/>
          <w:lang w:val="en-US"/>
        </w:rPr>
      </w:pPr>
      <w:r w:rsidRPr="00C82403">
        <w:rPr>
          <w:rFonts w:ascii="Times New Roman" w:hAnsi="Times New Roman"/>
          <w:b/>
          <w:bCs/>
          <w:sz w:val="28"/>
          <w:lang w:val="en-US"/>
        </w:rPr>
        <w:t>Abstract</w:t>
      </w:r>
    </w:p>
    <w:p w14:paraId="1C000000" w14:textId="342F8EC5" w:rsidR="00924B87" w:rsidRDefault="00DA545D" w:rsidP="002D1CFF">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«On historical Multivariate Cryptosystems and their restorations as instruments of Post-Quantum Cryptography» presents a short survey of the history of multivariate cryptography and explores how broken multivariate digital signature schemes can be repurposed in new protocol‑based cryptosystems. The author constructs general schemes combining Eulerian maps and quadratic maps with trapdoor accelerators—pieces of information that enable polynomial‑time computation of preimages. The paper illustrates these constructions through historical examples, including the Imai–Matsumoto multivariate digital signature schemes and the Unbalanced Oil and Vinegar (UOV) cryptosystems. The work situates these developments within the framework of noncommutative cryptography, demonstrating how classical multivariate approaches can be restored and adapted as instruments for post‑quantum cryptography. This survey provides valuable insights into the evolution of multivariate cryptography and its potential for quantum‑resistant applications.</w:t>
      </w:r>
    </w:p>
    <w:p w14:paraId="1F84E7EC" w14:textId="37922718" w:rsidR="00F510E5" w:rsidRPr="00F510E5" w:rsidRDefault="00F510E5" w:rsidP="002D1CFF">
      <w:pPr>
        <w:spacing w:after="0" w:line="360" w:lineRule="auto"/>
        <w:ind w:firstLine="709"/>
        <w:jc w:val="both"/>
        <w:rPr>
          <w:rFonts w:ascii="Times New Roman" w:hAnsi="Times New Roman"/>
          <w:b/>
          <w:bCs/>
          <w:sz w:val="28"/>
        </w:rPr>
      </w:pPr>
      <w:r w:rsidRPr="00F510E5">
        <w:rPr>
          <w:rFonts w:ascii="Times New Roman" w:hAnsi="Times New Roman"/>
          <w:b/>
          <w:bCs/>
          <w:sz w:val="28"/>
        </w:rPr>
        <w:t>Перевод</w:t>
      </w:r>
    </w:p>
    <w:p w14:paraId="7CF28CC5" w14:textId="2A377B02" w:rsidR="00F510E5" w:rsidRPr="00F510E5" w:rsidRDefault="00F510E5" w:rsidP="002D1CFF">
      <w:pPr>
        <w:spacing w:after="0" w:line="360" w:lineRule="auto"/>
        <w:ind w:firstLine="709"/>
        <w:jc w:val="both"/>
        <w:rPr>
          <w:rFonts w:ascii="Times New Roman" w:hAnsi="Times New Roman"/>
          <w:sz w:val="28"/>
        </w:rPr>
      </w:pPr>
      <w:r w:rsidRPr="00F510E5">
        <w:rPr>
          <w:rFonts w:ascii="Times New Roman" w:hAnsi="Times New Roman"/>
          <w:sz w:val="28"/>
        </w:rPr>
        <w:t xml:space="preserve">В статье «Об исторических многомерных криптосистемах и их восстановлениях как инструментах постквантовой криптографии» представлен краткий обзор истории многомерной криптографии и исследуется, как нарушенные схемы многомерной цифровой подписи могут быть повторно использованы в новых криптосистемах, основанных на протоколах. Автор строит общие схемы, сочетающие эйлеровы и квадратичные отображения с ускорителями—лазейками ‑ фрагментами информации, которые позволяют вычислять прообразы за полиномиальное время. В статье эти конструкции иллюстрируются историческими примерами, включая схемы многомерной цифровой подписи Имаи–Мацумото и </w:t>
      </w:r>
      <w:r w:rsidRPr="00F510E5">
        <w:rPr>
          <w:rFonts w:ascii="Times New Roman" w:hAnsi="Times New Roman"/>
          <w:sz w:val="28"/>
        </w:rPr>
        <w:lastRenderedPageBreak/>
        <w:t>криптосистемы с несбалансированным маслом и уксусом (UOV). В данной работе эти разработки рассматриваются в рамках некоммутативной криптографии, демонстрируя, как классические многомерные подходы могут быть восстановлены и адаптированы в качестве инструментов для постквантовой криптографии. Этот обзор дает ценную информацию об эволюции многомерной криптографии и ее потенциале для квантовоустойчивых приложений.</w:t>
      </w:r>
    </w:p>
    <w:p w14:paraId="1D000000" w14:textId="77777777" w:rsidR="00924B87" w:rsidRPr="00F510E5" w:rsidRDefault="00924B87">
      <w:pPr>
        <w:spacing w:after="0" w:line="360" w:lineRule="auto"/>
        <w:ind w:firstLine="709"/>
        <w:jc w:val="both"/>
        <w:rPr>
          <w:rFonts w:ascii="Times New Roman" w:hAnsi="Times New Roman"/>
          <w:sz w:val="28"/>
        </w:rPr>
      </w:pPr>
    </w:p>
    <w:p w14:paraId="096372AF" w14:textId="6D3459FF" w:rsidR="00E60C8A" w:rsidRPr="00F510E5" w:rsidRDefault="00E60C8A">
      <w:pPr>
        <w:rPr>
          <w:rFonts w:ascii="Times New Roman" w:hAnsi="Times New Roman"/>
          <w:sz w:val="28"/>
        </w:rPr>
      </w:pPr>
      <w:r w:rsidRPr="00F510E5">
        <w:rPr>
          <w:rFonts w:ascii="Times New Roman" w:hAnsi="Times New Roman"/>
          <w:sz w:val="28"/>
        </w:rPr>
        <w:br w:type="page"/>
      </w:r>
    </w:p>
    <w:p w14:paraId="0C6D8267" w14:textId="06B46338" w:rsidR="00DA545D" w:rsidRDefault="00E60C8A">
      <w:pPr>
        <w:spacing w:after="0" w:line="360" w:lineRule="auto"/>
        <w:ind w:firstLine="709"/>
        <w:jc w:val="both"/>
        <w:rPr>
          <w:rFonts w:ascii="Times New Roman" w:hAnsi="Times New Roman"/>
          <w:sz w:val="28"/>
        </w:rPr>
      </w:pPr>
      <w:r>
        <w:rPr>
          <w:rFonts w:ascii="Times New Roman" w:hAnsi="Times New Roman"/>
          <w:sz w:val="28"/>
        </w:rPr>
        <w:lastRenderedPageBreak/>
        <w:t>Переведённая статья</w:t>
      </w:r>
    </w:p>
    <w:p w14:paraId="514F1FD4" w14:textId="03E85E36" w:rsidR="006145AB" w:rsidRDefault="006145AB">
      <w:pPr>
        <w:spacing w:after="0" w:line="360" w:lineRule="auto"/>
        <w:ind w:firstLine="709"/>
        <w:jc w:val="both"/>
        <w:rPr>
          <w:rFonts w:ascii="Times New Roman" w:hAnsi="Times New Roman"/>
          <w:b/>
          <w:bCs/>
          <w:sz w:val="28"/>
          <w:lang w:val="en-US"/>
        </w:rPr>
      </w:pPr>
      <w:r w:rsidRPr="006145AB">
        <w:rPr>
          <w:rFonts w:ascii="Times New Roman" w:hAnsi="Times New Roman"/>
          <w:b/>
          <w:bCs/>
          <w:sz w:val="28"/>
          <w:lang w:val="en-US"/>
        </w:rPr>
        <w:t>Cambou, B. F. (2018). Ternary Physical Unclonable Functions for the Design of True Random Number Generators with a XOR Compiler and Modulo‑3 Addition. Advances in Science, Technology and Engineering Systems Journal, 3(3), 15-29. DOI: 10.25046/aj030302</w:t>
      </w:r>
    </w:p>
    <w:p w14:paraId="0472EA0E" w14:textId="4789C38C" w:rsidR="00B23B6D" w:rsidRDefault="00B23B6D">
      <w:pPr>
        <w:spacing w:after="0" w:line="360" w:lineRule="auto"/>
        <w:ind w:firstLine="709"/>
        <w:jc w:val="both"/>
        <w:rPr>
          <w:rFonts w:ascii="Times New Roman" w:hAnsi="Times New Roman"/>
          <w:b/>
          <w:bCs/>
          <w:sz w:val="28"/>
          <w:lang w:val="en-US"/>
        </w:rPr>
      </w:pPr>
    </w:p>
    <w:p w14:paraId="0B1FAF00" w14:textId="2EC98513" w:rsidR="00B23B6D" w:rsidRPr="006145AB" w:rsidRDefault="00B23B6D" w:rsidP="00B23B6D">
      <w:pPr>
        <w:spacing w:after="0" w:line="360" w:lineRule="auto"/>
        <w:ind w:firstLine="709"/>
        <w:jc w:val="both"/>
        <w:rPr>
          <w:rFonts w:ascii="Times New Roman" w:hAnsi="Times New Roman"/>
          <w:b/>
          <w:bCs/>
          <w:sz w:val="28"/>
          <w:lang w:val="en-US"/>
        </w:rPr>
      </w:pPr>
      <w:r w:rsidRPr="00C82403">
        <w:rPr>
          <w:rFonts w:ascii="Times New Roman" w:hAnsi="Times New Roman"/>
          <w:b/>
          <w:bCs/>
          <w:sz w:val="28"/>
          <w:lang w:val="en-US"/>
        </w:rPr>
        <w:t>Abstract</w:t>
      </w:r>
    </w:p>
    <w:p w14:paraId="0EFB5680" w14:textId="1888324F" w:rsidR="004954E4" w:rsidRPr="004954E4" w:rsidRDefault="004954E4" w:rsidP="004954E4">
      <w:pPr>
        <w:spacing w:after="0" w:line="360" w:lineRule="auto"/>
        <w:ind w:firstLine="709"/>
        <w:jc w:val="both"/>
        <w:rPr>
          <w:rFonts w:ascii="Times New Roman" w:hAnsi="Times New Roman"/>
          <w:sz w:val="28"/>
          <w:lang w:val="en-US"/>
        </w:rPr>
      </w:pPr>
      <w:r w:rsidRPr="004954E4">
        <w:rPr>
          <w:rFonts w:ascii="Times New Roman" w:hAnsi="Times New Roman"/>
          <w:sz w:val="28"/>
          <w:lang w:val="en-US"/>
        </w:rPr>
        <w:t>This article presents a true random number generator (TRNG) design based on fuzzy cells of ternary physical unclonable functions (PUFs). Memory-based PUFs contain unstable “0‑state” cells whose physical parameter lies near the median; upon repeated queries, these cells randomly flip between “1” and “0”, providing multiple independent sources of physical randomness. The author proposes three complementary elements: (i) a XOR data compiler that processes binary streams from several ternary cells to produce highly random output; (ii) a probabilistic model quantifying the deviation from perfect randomness λ; (iii) extension to native ternary random numbers using modulo‑3 addition.</w:t>
      </w:r>
    </w:p>
    <w:p w14:paraId="2FDE8A84" w14:textId="55FAAC14" w:rsidR="004954E4" w:rsidRPr="004954E4" w:rsidRDefault="004954E4" w:rsidP="004954E4">
      <w:pPr>
        <w:spacing w:after="0" w:line="360" w:lineRule="auto"/>
        <w:ind w:firstLine="709"/>
        <w:jc w:val="both"/>
        <w:rPr>
          <w:rFonts w:ascii="Times New Roman" w:hAnsi="Times New Roman"/>
          <w:sz w:val="28"/>
          <w:lang w:val="en-US"/>
        </w:rPr>
      </w:pPr>
      <w:r w:rsidRPr="004954E4">
        <w:rPr>
          <w:rFonts w:ascii="Times New Roman" w:hAnsi="Times New Roman"/>
          <w:sz w:val="28"/>
          <w:lang w:val="en-US"/>
        </w:rPr>
        <w:t>Experimental validation uses ReRAM array. For the tightest selection, a 3‑bit XOR compiler reduces λ to 3.2·10⁻⁵, and a 5‑bit compiler achieves 5.12·10⁻⁸. Modulo‑3 addition of 8 trits in the same case yields λ≈7.4·10⁻¹², far exceeding NIST criteria. The XOR compiler is ineffective when initial randomness is very low. An algorithm dynamically adjusts the median threshold to compensate for temperature or other drifts, preserving randomness.</w:t>
      </w:r>
    </w:p>
    <w:p w14:paraId="04A42ADE" w14:textId="1D8C0BBF" w:rsidR="00E60C8A" w:rsidRDefault="004954E4" w:rsidP="004954E4">
      <w:pPr>
        <w:spacing w:after="0" w:line="360" w:lineRule="auto"/>
        <w:ind w:firstLine="709"/>
        <w:jc w:val="both"/>
        <w:rPr>
          <w:rFonts w:ascii="Times New Roman" w:hAnsi="Times New Roman"/>
          <w:sz w:val="28"/>
          <w:lang w:val="en-US"/>
        </w:rPr>
      </w:pPr>
      <w:r w:rsidRPr="004954E4">
        <w:rPr>
          <w:rFonts w:ascii="Times New Roman" w:hAnsi="Times New Roman"/>
          <w:sz w:val="28"/>
          <w:lang w:val="en-US"/>
        </w:rPr>
        <w:t>The methods are generic, require few logic gates, and support high‑speed generation. The paper concludes that ternary PUFs combined with XOR or modulo‑3 compilation provide practical, tamper‑resistant, and extremely random TRNGs for IoT and embedded security. Future work includes extending to n‑valued logic and full NIST validation.</w:t>
      </w:r>
    </w:p>
    <w:p w14:paraId="04B0C005" w14:textId="5DB58DB7" w:rsidR="00DC4A59" w:rsidRPr="00DC4A59" w:rsidRDefault="00DC4A59" w:rsidP="004954E4">
      <w:pPr>
        <w:spacing w:after="0" w:line="360" w:lineRule="auto"/>
        <w:ind w:firstLine="709"/>
        <w:jc w:val="both"/>
        <w:rPr>
          <w:rFonts w:ascii="Times New Roman" w:hAnsi="Times New Roman"/>
          <w:b/>
          <w:bCs/>
          <w:sz w:val="28"/>
        </w:rPr>
      </w:pPr>
      <w:r w:rsidRPr="00DC4A59">
        <w:rPr>
          <w:rFonts w:ascii="Times New Roman" w:hAnsi="Times New Roman"/>
          <w:b/>
          <w:bCs/>
          <w:sz w:val="28"/>
        </w:rPr>
        <w:t>Перевод</w:t>
      </w:r>
    </w:p>
    <w:p w14:paraId="2EA0A081" w14:textId="77777777" w:rsidR="00DC4A59" w:rsidRPr="00DC4A59" w:rsidRDefault="00DC4A59" w:rsidP="00DC4A59">
      <w:pPr>
        <w:spacing w:after="0" w:line="360" w:lineRule="auto"/>
        <w:ind w:firstLine="709"/>
        <w:jc w:val="both"/>
        <w:rPr>
          <w:rFonts w:ascii="Times New Roman" w:hAnsi="Times New Roman"/>
          <w:sz w:val="28"/>
        </w:rPr>
      </w:pPr>
      <w:r w:rsidRPr="00DC4A59">
        <w:rPr>
          <w:rFonts w:ascii="Times New Roman" w:hAnsi="Times New Roman"/>
          <w:sz w:val="28"/>
        </w:rPr>
        <w:t xml:space="preserve">В этой статье представлена конструкция генератора истинных случайных чисел (TRNG), основанная на нечетких ячейках троичных </w:t>
      </w:r>
      <w:r w:rsidRPr="00DC4A59">
        <w:rPr>
          <w:rFonts w:ascii="Times New Roman" w:hAnsi="Times New Roman"/>
          <w:sz w:val="28"/>
        </w:rPr>
        <w:lastRenderedPageBreak/>
        <w:t>физических несвязываемых функций (PUF). PUF на основе памяти содержат нестабильные ячейки с нулевым состоянием, физический параметр которых близок к среднему значению; при повторных запросах эти ячейки случайным образом переключаются между “1” и “0”, обеспечивая множество независимых источников физической случайности. Автор предлагает три взаимодополняющих элемента: (i) компилятор данных XOR, который обрабатывает двоичные потоки из нескольких троичных ячеек для получения очень случайного вывода; (ii) вероятностная модель, количественно определяющая отклонение от идеальной случайности λ; (iii) расширение до собственных троичных случайных чисел с использованием сложения по модулю 3.</w:t>
      </w:r>
    </w:p>
    <w:p w14:paraId="633A487B" w14:textId="77777777" w:rsidR="00DC4A59" w:rsidRPr="00DC4A59" w:rsidRDefault="00DC4A59" w:rsidP="00DC4A59">
      <w:pPr>
        <w:spacing w:after="0" w:line="360" w:lineRule="auto"/>
        <w:ind w:firstLine="709"/>
        <w:jc w:val="both"/>
        <w:rPr>
          <w:rFonts w:ascii="Times New Roman" w:hAnsi="Times New Roman"/>
          <w:sz w:val="28"/>
        </w:rPr>
      </w:pPr>
      <w:r w:rsidRPr="00DC4A59">
        <w:rPr>
          <w:rFonts w:ascii="Times New Roman" w:hAnsi="Times New Roman"/>
          <w:sz w:val="28"/>
        </w:rPr>
        <w:t>Для экспериментальной проверки используется массив ReRAM. Для наиболее точного выбора 3‑разрядный XOR⁻компилятор уменьшает λ до 3,2·10‑∞, а 5-разрядный компилятор достигает 5,12·10⁻∞. Сложение 8 тритов по модулю 3 в том же случае дает λ≈7,4·10-12, что значительно превышает критерии NIST. Компилятор исключающего кода неэффективен, когда начальная случайность очень мала. Алгоритм динамически регулирует средний порог, чтобы компенсировать температурные или другие отклонения, сохраняя случайность.</w:t>
      </w:r>
    </w:p>
    <w:p w14:paraId="190A8B76" w14:textId="659F7D3E" w:rsidR="00DC4A59" w:rsidRPr="00DC4A59" w:rsidRDefault="00DC4A59" w:rsidP="00DC4A59">
      <w:pPr>
        <w:spacing w:after="0" w:line="360" w:lineRule="auto"/>
        <w:ind w:firstLine="709"/>
        <w:jc w:val="both"/>
        <w:rPr>
          <w:rFonts w:ascii="Times New Roman" w:hAnsi="Times New Roman"/>
          <w:sz w:val="28"/>
        </w:rPr>
      </w:pPr>
      <w:r w:rsidRPr="00DC4A59">
        <w:rPr>
          <w:rFonts w:ascii="Times New Roman" w:hAnsi="Times New Roman"/>
          <w:sz w:val="28"/>
        </w:rPr>
        <w:t>Эти методы являются универсальными, требуют небольшого количества логических элементов и поддерживают высокоскоростную генерацию. В статье делается вывод о том, что троичные PUF‑файлы в сочетании с компиляцией XOR или по модулю 3 обеспечивают практичные, защищенные от несанкционированного доступа и чрезвычайно случайные TRNG‑файлы для IoT и встроенной безопасности. Будущая работа включает в себя переход на n‑значную логику и полную проверку NIST.</w:t>
      </w:r>
    </w:p>
    <w:p w14:paraId="39D8D555" w14:textId="3934CA3D" w:rsidR="00CB2CA2" w:rsidRPr="00DC4A59" w:rsidRDefault="00CB2CA2">
      <w:pPr>
        <w:rPr>
          <w:rFonts w:ascii="Times New Roman" w:hAnsi="Times New Roman"/>
          <w:sz w:val="28"/>
        </w:rPr>
      </w:pPr>
      <w:r w:rsidRPr="00DC4A59">
        <w:rPr>
          <w:rFonts w:ascii="Times New Roman" w:hAnsi="Times New Roman"/>
          <w:sz w:val="28"/>
        </w:rPr>
        <w:br w:type="page"/>
      </w:r>
    </w:p>
    <w:p w14:paraId="0910DA41" w14:textId="58CA8326" w:rsidR="00CB2CA2" w:rsidRPr="00607940" w:rsidRDefault="00CB2CA2" w:rsidP="00607940">
      <w:pPr>
        <w:spacing w:after="0" w:line="360" w:lineRule="auto"/>
        <w:ind w:firstLine="709"/>
        <w:jc w:val="center"/>
        <w:rPr>
          <w:rFonts w:ascii="Times New Roman" w:hAnsi="Times New Roman"/>
          <w:b/>
          <w:sz w:val="28"/>
          <w:lang w:val="en-US"/>
        </w:rPr>
      </w:pPr>
      <w:r w:rsidRPr="005C50E5">
        <w:rPr>
          <w:rFonts w:ascii="Times New Roman" w:hAnsi="Times New Roman"/>
          <w:b/>
          <w:sz w:val="28"/>
          <w:lang w:val="en-US"/>
        </w:rPr>
        <w:lastRenderedPageBreak/>
        <w:t>My research work</w:t>
      </w:r>
    </w:p>
    <w:p w14:paraId="711E1AC2" w14:textId="470486CE" w:rsidR="00CB2CA2" w:rsidRPr="005C50E5" w:rsidRDefault="00CB2CA2" w:rsidP="00061791">
      <w:pPr>
        <w:spacing w:after="0" w:line="360" w:lineRule="auto"/>
        <w:ind w:firstLine="709"/>
        <w:jc w:val="both"/>
        <w:rPr>
          <w:rFonts w:ascii="Times New Roman" w:hAnsi="Times New Roman"/>
          <w:b/>
          <w:sz w:val="28"/>
          <w:lang w:val="en-US"/>
        </w:rPr>
      </w:pPr>
      <w:r w:rsidRPr="005C50E5">
        <w:rPr>
          <w:rFonts w:ascii="Times New Roman" w:hAnsi="Times New Roman"/>
          <w:sz w:val="28"/>
          <w:lang w:val="en-US"/>
        </w:rPr>
        <w:t>The security of modern cryptographic systems depends critically on high‑quality randomness. True Random Number Generators (TRNGs) that exploit physical entropy sources—such as jitter in digital circuits—offer unpredictability essential for cryptographic keys, nonces, and authentication protocols. While most existing TRNGs are based on binary logic, ternary logic presents potential advantages in circuit density, power efficiency, and compatibility with emerging nanotechnologies. My research focuses on developing a theoretical model for a novel TRNG constructed from identical ternary logic gates connected in a feedback configuration.</w:t>
      </w:r>
    </w:p>
    <w:p w14:paraId="2AF56C1B"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xml:space="preserve">The main goal is to mathematically model and analyze the behavior of a jitter‑based TRNG built from ternary combinational gates. </w:t>
      </w:r>
    </w:p>
    <w:p w14:paraId="24410361"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Specific objectives are:</w:t>
      </w:r>
    </w:p>
    <w:p w14:paraId="6D2B6339"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to formulate a continuous‑time Markov chain model assuming independent exponentially distributed gate delays.</w:t>
      </w:r>
    </w:p>
    <w:p w14:paraId="348A6A62"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to derive the Erlang‑type differential equations governing the generator’s state probabilities.</w:t>
      </w:r>
    </w:p>
    <w:p w14:paraId="3D200200"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to find the stationary distribution and convergence rate for different numbers of gates and circuit topologies.</w:t>
      </w:r>
    </w:p>
    <w:p w14:paraId="7416D75F" w14:textId="13B46CBF" w:rsidR="00CB2CA2" w:rsidRPr="005C50E5" w:rsidRDefault="00CB2CA2" w:rsidP="00061791">
      <w:pPr>
        <w:spacing w:after="0" w:line="360" w:lineRule="auto"/>
        <w:ind w:firstLine="709"/>
        <w:jc w:val="both"/>
        <w:rPr>
          <w:rFonts w:ascii="Times New Roman" w:hAnsi="Times New Roman"/>
          <w:b/>
          <w:sz w:val="28"/>
          <w:lang w:val="en-US"/>
        </w:rPr>
      </w:pPr>
      <w:r w:rsidRPr="005C50E5">
        <w:rPr>
          <w:rFonts w:ascii="Times New Roman" w:hAnsi="Times New Roman"/>
          <w:sz w:val="28"/>
          <w:lang w:val="en-US"/>
        </w:rPr>
        <w:t>- to evaluate the uniformity and statistical properties of the output random numbers.</w:t>
      </w:r>
    </w:p>
    <w:p w14:paraId="678E1C9B" w14:textId="0BBCA20C" w:rsidR="00CB2CA2" w:rsidRPr="005C50E5" w:rsidRDefault="00CB2CA2" w:rsidP="00061791">
      <w:pPr>
        <w:spacing w:after="0" w:line="360" w:lineRule="auto"/>
        <w:ind w:firstLine="709"/>
        <w:jc w:val="both"/>
        <w:rPr>
          <w:rFonts w:ascii="Times New Roman" w:hAnsi="Times New Roman"/>
          <w:b/>
          <w:sz w:val="28"/>
          <w:lang w:val="en-US"/>
        </w:rPr>
      </w:pPr>
      <w:r w:rsidRPr="005C50E5">
        <w:rPr>
          <w:rFonts w:ascii="Times New Roman" w:hAnsi="Times New Roman"/>
          <w:sz w:val="28"/>
          <w:lang w:val="en-US"/>
        </w:rPr>
        <w:t xml:space="preserve">The generator is modeled as a Markov process where each state is a vector of ternary output values. Transition rates are determined by the exponential delay assumption and a ternary logic function. The master equation is solved analytically for small </w:t>
      </w:r>
      <m:oMath>
        <m:r>
          <w:rPr>
            <w:rFonts w:ascii="Cambria Math" w:hAnsi="Cambria Math"/>
            <w:sz w:val="28"/>
          </w:rPr>
          <m:t>N</m:t>
        </m:r>
      </m:oMath>
      <w:r w:rsidRPr="005C50E5">
        <w:rPr>
          <w:rFonts w:ascii="Times New Roman" w:hAnsi="Times New Roman"/>
          <w:sz w:val="28"/>
          <w:lang w:val="en-US"/>
        </w:rPr>
        <w:t xml:space="preserve"> and numerically for larger </w:t>
      </w:r>
      <m:oMath>
        <m:r>
          <w:rPr>
            <w:rFonts w:ascii="Cambria Math" w:hAnsi="Cambria Math"/>
            <w:sz w:val="28"/>
          </w:rPr>
          <m:t>N</m:t>
        </m:r>
      </m:oMath>
      <w:r w:rsidRPr="005C50E5">
        <w:rPr>
          <w:rFonts w:ascii="Times New Roman" w:hAnsi="Times New Roman"/>
          <w:sz w:val="28"/>
          <w:lang w:val="en-US"/>
        </w:rPr>
        <w:t xml:space="preserve"> using matrix exponentiation. Simulation in Python is used to validate theoretical results and to study convergence speed.</w:t>
      </w:r>
    </w:p>
    <w:p w14:paraId="51EC5A26"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Key anticipated outcomes include:</w:t>
      </w:r>
    </w:p>
    <w:p w14:paraId="734B3699"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xml:space="preserve">- Proof that for a ring of </w:t>
      </w:r>
      <m:oMath>
        <m:r>
          <w:rPr>
            <w:rFonts w:ascii="Cambria Math" w:hAnsi="Cambria Math"/>
            <w:sz w:val="28"/>
          </w:rPr>
          <m:t>N</m:t>
        </m:r>
        <m:r>
          <w:rPr>
            <w:rFonts w:ascii="Cambria Math" w:hAnsi="Cambria Math"/>
            <w:sz w:val="28"/>
            <w:lang w:val="en-US"/>
          </w:rPr>
          <m:t>≥3</m:t>
        </m:r>
      </m:oMath>
      <w:r w:rsidRPr="005C50E5">
        <w:rPr>
          <w:rFonts w:ascii="Times New Roman" w:hAnsi="Times New Roman"/>
          <w:sz w:val="28"/>
          <w:lang w:val="en-US"/>
        </w:rPr>
        <w:t xml:space="preserve"> gates, the stationary distribution is non‑uniform, yet each individual gate’s output is uniformly distributed over </w:t>
      </w:r>
      <m:oMath>
        <m:r>
          <w:rPr>
            <w:rFonts w:ascii="Cambria Math" w:hAnsi="Cambria Math"/>
            <w:sz w:val="28"/>
            <w:lang w:val="en-US"/>
          </w:rPr>
          <m:t>{-</m:t>
        </m:r>
        <m:r>
          <m:rPr>
            <m:sty m:val="p"/>
          </m:rPr>
          <w:rPr>
            <w:rFonts w:ascii="Cambria Math" w:hAnsi="Cambria Math"/>
            <w:sz w:val="28"/>
            <w:lang w:val="en-US"/>
          </w:rPr>
          <m:t>1,0</m:t>
        </m:r>
        <m:r>
          <w:rPr>
            <w:rFonts w:ascii="Cambria Math" w:hAnsi="Cambria Math"/>
            <w:sz w:val="28"/>
            <w:lang w:val="en-US"/>
          </w:rPr>
          <m:t>,1}</m:t>
        </m:r>
      </m:oMath>
      <w:r w:rsidRPr="005C50E5">
        <w:rPr>
          <w:rFonts w:ascii="Times New Roman" w:hAnsi="Times New Roman"/>
          <w:sz w:val="28"/>
          <w:lang w:val="en-US"/>
        </w:rPr>
        <w:t>.</w:t>
      </w:r>
    </w:p>
    <w:p w14:paraId="277A80C6"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lastRenderedPageBreak/>
        <w:t>- Identification of unreachable states and practical ways to circumvent them.</w:t>
      </w:r>
    </w:p>
    <w:p w14:paraId="21AAE2B4" w14:textId="77777777" w:rsidR="00CB2CA2" w:rsidRPr="005C50E5"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 Quantitative estimation of the clock period needed to achieve near‑uniform output.</w:t>
      </w:r>
    </w:p>
    <w:p w14:paraId="33C7E4C4" w14:textId="1D58C166" w:rsidR="00CB2CA2" w:rsidRDefault="00CB2CA2" w:rsidP="00CB2CA2">
      <w:pPr>
        <w:spacing w:after="0" w:line="360" w:lineRule="auto"/>
        <w:ind w:firstLine="709"/>
        <w:jc w:val="both"/>
        <w:rPr>
          <w:rFonts w:ascii="Times New Roman" w:hAnsi="Times New Roman"/>
          <w:sz w:val="28"/>
          <w:lang w:val="en-US"/>
        </w:rPr>
      </w:pPr>
      <w:r w:rsidRPr="005C50E5">
        <w:rPr>
          <w:rFonts w:ascii="Times New Roman" w:hAnsi="Times New Roman"/>
          <w:sz w:val="28"/>
          <w:lang w:val="en-US"/>
        </w:rPr>
        <w:t>The work extends the theory of jitter‑based TRNGs from binary to ternary logic, providing a foundation for designing compact hardware random number generators. This contributes to the development of physically secure random sources for post‑quantum cryptographic systems and other security‑sensitive applications.</w:t>
      </w:r>
    </w:p>
    <w:p w14:paraId="6D8A1E3E" w14:textId="74B4EA29" w:rsidR="00A761F8" w:rsidRPr="00A761F8" w:rsidRDefault="00A761F8" w:rsidP="0002790B">
      <w:pPr>
        <w:spacing w:after="0" w:line="360" w:lineRule="auto"/>
        <w:ind w:firstLine="709"/>
        <w:jc w:val="both"/>
        <w:rPr>
          <w:rFonts w:ascii="Times New Roman" w:hAnsi="Times New Roman"/>
          <w:sz w:val="28"/>
        </w:rPr>
      </w:pPr>
      <w:r w:rsidRPr="00A761F8">
        <w:rPr>
          <w:rFonts w:ascii="Times New Roman" w:hAnsi="Times New Roman"/>
          <w:b/>
          <w:bCs/>
          <w:sz w:val="28"/>
        </w:rPr>
        <w:t>Перевод</w:t>
      </w:r>
    </w:p>
    <w:p w14:paraId="180F785C" w14:textId="5B8811D1" w:rsidR="00A761F8" w:rsidRPr="00A761F8" w:rsidRDefault="00A761F8" w:rsidP="0002790B">
      <w:pPr>
        <w:spacing w:after="0" w:line="360" w:lineRule="auto"/>
        <w:ind w:firstLine="709"/>
        <w:jc w:val="both"/>
        <w:rPr>
          <w:rFonts w:ascii="Times New Roman" w:hAnsi="Times New Roman"/>
          <w:sz w:val="28"/>
        </w:rPr>
      </w:pPr>
      <w:r w:rsidRPr="00A761F8">
        <w:rPr>
          <w:rFonts w:ascii="Times New Roman" w:hAnsi="Times New Roman"/>
          <w:sz w:val="28"/>
        </w:rPr>
        <w:t>Безопасность современных криптографических систем в решающей степени зависит от высококачественной случайности. Генераторы истинных случайных чисел (TRNG), которые используют физические источники энтропии, такие как дрожание в цифровых схемах, обеспечивают непредсказуемость, необходимую для криптографических ключей, одноразовых номеров и протоколов аутентификации. В то время как большинство существующих TRNG основаны на двоичной логике, троичная логика обладает потенциальными преимуществами в плане плотности схемы, энергоэффективности и совместимости с новыми нанотехнологиями. Мое исследование сосредоточено на разработке теоретической модели нового TRNG, построенного из идентичных троичных логических элементов, соединенных в конфигурации с обратной связью.</w:t>
      </w:r>
    </w:p>
    <w:p w14:paraId="24891520"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xml:space="preserve">Основная цель ‑ математически смоделировать и проанализировать поведение TRNG на основе дрожания, построенного из троичных комбинационных элементов. </w:t>
      </w:r>
    </w:p>
    <w:p w14:paraId="39FC2CD7"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Конкретными целями являются:</w:t>
      </w:r>
    </w:p>
    <w:p w14:paraId="1A510122"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разработка модели марковской цепи непрерывного действия, предполагающей независимые экспоненциально распределенные задержки на затворе.</w:t>
      </w:r>
    </w:p>
    <w:p w14:paraId="30A544B4"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вывод дифференциальных уравнений типа Эрланга, определяющих вероятности состояний генератора.</w:t>
      </w:r>
    </w:p>
    <w:p w14:paraId="4F496E94"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lastRenderedPageBreak/>
        <w:t>- для определения стационарного распределения и скорости сходимости для различного числа элементов и топологий схем.</w:t>
      </w:r>
    </w:p>
    <w:p w14:paraId="32ED332C" w14:textId="0E206090" w:rsidR="00A761F8" w:rsidRPr="00A761F8" w:rsidRDefault="00A761F8" w:rsidP="0002790B">
      <w:pPr>
        <w:spacing w:after="0" w:line="360" w:lineRule="auto"/>
        <w:ind w:firstLine="709"/>
        <w:jc w:val="both"/>
        <w:rPr>
          <w:rFonts w:ascii="Times New Roman" w:hAnsi="Times New Roman"/>
          <w:sz w:val="28"/>
        </w:rPr>
      </w:pPr>
      <w:r w:rsidRPr="00A761F8">
        <w:rPr>
          <w:rFonts w:ascii="Times New Roman" w:hAnsi="Times New Roman"/>
          <w:sz w:val="28"/>
        </w:rPr>
        <w:t>- для оценки однородности и статистических свойств выходных случайных чисел.</w:t>
      </w:r>
    </w:p>
    <w:p w14:paraId="78EFAA77" w14:textId="0B251B6E" w:rsidR="00A761F8" w:rsidRPr="00A761F8" w:rsidRDefault="00A761F8" w:rsidP="0002790B">
      <w:pPr>
        <w:spacing w:after="0" w:line="360" w:lineRule="auto"/>
        <w:ind w:firstLine="709"/>
        <w:jc w:val="both"/>
        <w:rPr>
          <w:rFonts w:ascii="Times New Roman" w:hAnsi="Times New Roman"/>
          <w:sz w:val="28"/>
        </w:rPr>
      </w:pPr>
      <w:r w:rsidRPr="00A761F8">
        <w:rPr>
          <w:rFonts w:ascii="Times New Roman" w:hAnsi="Times New Roman"/>
          <w:sz w:val="28"/>
        </w:rPr>
        <w:t>Генератор моделируется как марковский процесс, где каждое состояние представляет собой вектор троичных выходных значений. Скорость перехода определяется предположением об экспоненциальной задержке и троичной логической функцией. Основное уравнение решается аналитически для малых N и численно для больших N с использованием матричного возведения в степень. Моделирование на Python используется для проверки теоретических результатов и изучения скорости конвергенции.</w:t>
      </w:r>
    </w:p>
    <w:p w14:paraId="1D6B7E69"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Основные ожидаемые результаты включают:</w:t>
      </w:r>
    </w:p>
    <w:p w14:paraId="3FDD3A44"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Доказательство того, что для кольца из N≥3 элементов стационарное распределение неравномерно, однако выходные данные каждого отдельного элемента равномерно распределены по {-1,0,1}.</w:t>
      </w:r>
    </w:p>
    <w:p w14:paraId="25111E6B"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Определение недостижимых состояний и практических способов их обхода.</w:t>
      </w:r>
    </w:p>
    <w:p w14:paraId="1CC8AEF0" w14:textId="7777777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 Количественная оценка периода синхронизации‑ необходимого для достижения почти равномерной производительности.</w:t>
      </w:r>
    </w:p>
    <w:p w14:paraId="5736FD77" w14:textId="59EBEC47" w:rsidR="00A761F8" w:rsidRPr="00A761F8" w:rsidRDefault="00A761F8" w:rsidP="00A761F8">
      <w:pPr>
        <w:spacing w:after="0" w:line="360" w:lineRule="auto"/>
        <w:ind w:firstLine="709"/>
        <w:jc w:val="both"/>
        <w:rPr>
          <w:rFonts w:ascii="Times New Roman" w:hAnsi="Times New Roman"/>
          <w:sz w:val="28"/>
        </w:rPr>
      </w:pPr>
      <w:r w:rsidRPr="00A761F8">
        <w:rPr>
          <w:rFonts w:ascii="Times New Roman" w:hAnsi="Times New Roman"/>
          <w:sz w:val="28"/>
        </w:rPr>
        <w:t>Работа расширяет теорию TRNG на основе джиттера с двоичной на троичную логику, обеспечивая основу для разработки компактных аппаратных генераторов случайных чисел. Это способствует разработке физически защищенных источников случайных чисел для постквантовых криптографических систем и других приложений, чувствительных к безопасности.</w:t>
      </w:r>
    </w:p>
    <w:p w14:paraId="393F61CC" w14:textId="77777777" w:rsidR="00E60C8A" w:rsidRPr="00A761F8" w:rsidRDefault="00E60C8A">
      <w:pPr>
        <w:spacing w:after="0" w:line="360" w:lineRule="auto"/>
        <w:ind w:firstLine="709"/>
        <w:jc w:val="both"/>
        <w:rPr>
          <w:rFonts w:ascii="Times New Roman" w:hAnsi="Times New Roman"/>
          <w:sz w:val="28"/>
        </w:rPr>
      </w:pPr>
    </w:p>
    <w:sectPr w:rsidR="00E60C8A" w:rsidRPr="00A761F8">
      <w:footerReference w:type="default" r:id="rId6"/>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64832" w14:textId="77777777" w:rsidR="005C4259" w:rsidRDefault="005C4259" w:rsidP="003B25CB">
      <w:pPr>
        <w:spacing w:after="0" w:line="240" w:lineRule="auto"/>
      </w:pPr>
      <w:r>
        <w:separator/>
      </w:r>
    </w:p>
  </w:endnote>
  <w:endnote w:type="continuationSeparator" w:id="0">
    <w:p w14:paraId="4B18603D" w14:textId="77777777" w:rsidR="005C4259" w:rsidRDefault="005C4259" w:rsidP="003B2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XO Thames">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001321"/>
      <w:docPartObj>
        <w:docPartGallery w:val="Page Numbers (Bottom of Page)"/>
        <w:docPartUnique/>
      </w:docPartObj>
    </w:sdtPr>
    <w:sdtContent>
      <w:p w14:paraId="10F33566" w14:textId="06308068" w:rsidR="003B25CB" w:rsidRDefault="003B25CB">
        <w:pPr>
          <w:pStyle w:val="aa"/>
          <w:jc w:val="center"/>
        </w:pPr>
        <w:r>
          <w:fldChar w:fldCharType="begin"/>
        </w:r>
        <w:r>
          <w:instrText>PAGE   \* MERGEFORMAT</w:instrText>
        </w:r>
        <w:r>
          <w:fldChar w:fldCharType="separate"/>
        </w:r>
        <w:r>
          <w:t>2</w:t>
        </w:r>
        <w:r>
          <w:fldChar w:fldCharType="end"/>
        </w:r>
      </w:p>
    </w:sdtContent>
  </w:sdt>
  <w:p w14:paraId="5C6843E4" w14:textId="77777777" w:rsidR="003B25CB" w:rsidRDefault="003B25C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952AB" w14:textId="77777777" w:rsidR="005C4259" w:rsidRDefault="005C4259" w:rsidP="003B25CB">
      <w:pPr>
        <w:spacing w:after="0" w:line="240" w:lineRule="auto"/>
      </w:pPr>
      <w:r>
        <w:separator/>
      </w:r>
    </w:p>
  </w:footnote>
  <w:footnote w:type="continuationSeparator" w:id="0">
    <w:p w14:paraId="1965E7DE" w14:textId="77777777" w:rsidR="005C4259" w:rsidRDefault="005C4259" w:rsidP="003B25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B87"/>
    <w:rsid w:val="00011298"/>
    <w:rsid w:val="0002790B"/>
    <w:rsid w:val="00061791"/>
    <w:rsid w:val="00061D8B"/>
    <w:rsid w:val="00080D88"/>
    <w:rsid w:val="001931C5"/>
    <w:rsid w:val="002C66A1"/>
    <w:rsid w:val="002D1CFF"/>
    <w:rsid w:val="003428E0"/>
    <w:rsid w:val="003A1522"/>
    <w:rsid w:val="003B25CB"/>
    <w:rsid w:val="00487328"/>
    <w:rsid w:val="004954E4"/>
    <w:rsid w:val="004C028E"/>
    <w:rsid w:val="00553648"/>
    <w:rsid w:val="0058289D"/>
    <w:rsid w:val="005B2104"/>
    <w:rsid w:val="005C4259"/>
    <w:rsid w:val="00607940"/>
    <w:rsid w:val="006145AB"/>
    <w:rsid w:val="006F26D3"/>
    <w:rsid w:val="00814417"/>
    <w:rsid w:val="00830D2A"/>
    <w:rsid w:val="00924B87"/>
    <w:rsid w:val="00A761F8"/>
    <w:rsid w:val="00B22829"/>
    <w:rsid w:val="00B23B6D"/>
    <w:rsid w:val="00BC0DB4"/>
    <w:rsid w:val="00C82403"/>
    <w:rsid w:val="00CB2CA2"/>
    <w:rsid w:val="00DA545D"/>
    <w:rsid w:val="00DC4A59"/>
    <w:rsid w:val="00DE3CCE"/>
    <w:rsid w:val="00E21D99"/>
    <w:rsid w:val="00E24970"/>
    <w:rsid w:val="00E60C8A"/>
    <w:rsid w:val="00F510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64BE"/>
  <w15:docId w15:val="{A6E9C983-04F3-4988-9A9A-29EFC0B5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2">
    <w:name w:val="Гиперссылка1"/>
    <w:link w:val="a3"/>
    <w:rPr>
      <w:color w:val="0000FF"/>
      <w:u w:val="single"/>
    </w:rPr>
  </w:style>
  <w:style w:type="character" w:styleId="a3">
    <w:name w:val="Hyperlink"/>
    <w:link w:val="12"/>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3">
    <w:name w:val="toc 1"/>
    <w:next w:val="a"/>
    <w:link w:val="14"/>
    <w:uiPriority w:val="39"/>
    <w:rPr>
      <w:rFonts w:ascii="XO Thames" w:hAnsi="XO Thames"/>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15">
    <w:name w:val="Основной шрифт абзаца1"/>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rFonts w:ascii="XO Thames" w:hAnsi="XO Thames"/>
      <w:i/>
      <w:sz w:val="24"/>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rFonts w:ascii="XO Thames" w:hAnsi="XO Thames"/>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paragraph" w:styleId="a8">
    <w:name w:val="header"/>
    <w:basedOn w:val="a"/>
    <w:link w:val="a9"/>
    <w:uiPriority w:val="99"/>
    <w:unhideWhenUsed/>
    <w:rsid w:val="003B25C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3B25CB"/>
  </w:style>
  <w:style w:type="paragraph" w:styleId="aa">
    <w:name w:val="footer"/>
    <w:basedOn w:val="a"/>
    <w:link w:val="ab"/>
    <w:uiPriority w:val="99"/>
    <w:unhideWhenUsed/>
    <w:rsid w:val="003B25C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3B2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7483">
      <w:bodyDiv w:val="1"/>
      <w:marLeft w:val="0"/>
      <w:marRight w:val="0"/>
      <w:marTop w:val="0"/>
      <w:marBottom w:val="0"/>
      <w:divBdr>
        <w:top w:val="none" w:sz="0" w:space="0" w:color="auto"/>
        <w:left w:val="none" w:sz="0" w:space="0" w:color="auto"/>
        <w:bottom w:val="none" w:sz="0" w:space="0" w:color="auto"/>
        <w:right w:val="none" w:sz="0" w:space="0" w:color="auto"/>
      </w:divBdr>
    </w:div>
    <w:div w:id="419521871">
      <w:bodyDiv w:val="1"/>
      <w:marLeft w:val="0"/>
      <w:marRight w:val="0"/>
      <w:marTop w:val="0"/>
      <w:marBottom w:val="0"/>
      <w:divBdr>
        <w:top w:val="none" w:sz="0" w:space="0" w:color="auto"/>
        <w:left w:val="none" w:sz="0" w:space="0" w:color="auto"/>
        <w:bottom w:val="none" w:sz="0" w:space="0" w:color="auto"/>
        <w:right w:val="none" w:sz="0" w:space="0" w:color="auto"/>
      </w:divBdr>
    </w:div>
    <w:div w:id="1130786454">
      <w:bodyDiv w:val="1"/>
      <w:marLeft w:val="0"/>
      <w:marRight w:val="0"/>
      <w:marTop w:val="0"/>
      <w:marBottom w:val="0"/>
      <w:divBdr>
        <w:top w:val="none" w:sz="0" w:space="0" w:color="auto"/>
        <w:left w:val="none" w:sz="0" w:space="0" w:color="auto"/>
        <w:bottom w:val="none" w:sz="0" w:space="0" w:color="auto"/>
        <w:right w:val="none" w:sz="0" w:space="0" w:color="auto"/>
      </w:divBdr>
    </w:div>
    <w:div w:id="1529180228">
      <w:bodyDiv w:val="1"/>
      <w:marLeft w:val="0"/>
      <w:marRight w:val="0"/>
      <w:marTop w:val="0"/>
      <w:marBottom w:val="0"/>
      <w:divBdr>
        <w:top w:val="none" w:sz="0" w:space="0" w:color="auto"/>
        <w:left w:val="none" w:sz="0" w:space="0" w:color="auto"/>
        <w:bottom w:val="none" w:sz="0" w:space="0" w:color="auto"/>
        <w:right w:val="none" w:sz="0" w:space="0" w:color="auto"/>
      </w:divBdr>
    </w:div>
    <w:div w:id="2011173402">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1193288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15</Pages>
  <Words>3140</Words>
  <Characters>17901</Characters>
  <Application>Microsoft Office Word</Application>
  <DocSecurity>0</DocSecurity>
  <Lines>149</Lines>
  <Paragraphs>41</Paragraphs>
  <ScaleCrop>false</ScaleCrop>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Гусев Виталий Евгеньевич</cp:lastModifiedBy>
  <cp:revision>36</cp:revision>
  <dcterms:created xsi:type="dcterms:W3CDTF">2026-03-30T11:50:00Z</dcterms:created>
  <dcterms:modified xsi:type="dcterms:W3CDTF">2026-06-03T04:33:00Z</dcterms:modified>
</cp:coreProperties>
</file>