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00000" w14:textId="77777777" w:rsidR="00924B87" w:rsidRPr="00B22829" w:rsidRDefault="00DA545D">
      <w:pPr>
        <w:spacing w:after="0" w:line="360" w:lineRule="auto"/>
        <w:ind w:firstLine="709"/>
        <w:jc w:val="both"/>
        <w:rPr>
          <w:rFonts w:ascii="Times New Roman" w:hAnsi="Times New Roman"/>
          <w:b/>
          <w:sz w:val="28"/>
          <w:lang w:val="en-US"/>
        </w:rPr>
      </w:pPr>
      <w:r w:rsidRPr="00B22829">
        <w:rPr>
          <w:rFonts w:ascii="Times New Roman" w:hAnsi="Times New Roman"/>
          <w:b/>
          <w:sz w:val="28"/>
          <w:lang w:val="en-US"/>
        </w:rPr>
        <w:t xml:space="preserve">Chhetri, G., </w:t>
      </w:r>
      <w:proofErr w:type="spellStart"/>
      <w:r w:rsidRPr="00B22829">
        <w:rPr>
          <w:rFonts w:ascii="Times New Roman" w:hAnsi="Times New Roman"/>
          <w:b/>
          <w:sz w:val="28"/>
          <w:lang w:val="en-US"/>
        </w:rPr>
        <w:t>Somvanshi</w:t>
      </w:r>
      <w:proofErr w:type="spellEnd"/>
      <w:r w:rsidRPr="00B22829">
        <w:rPr>
          <w:rFonts w:ascii="Times New Roman" w:hAnsi="Times New Roman"/>
          <w:b/>
          <w:sz w:val="28"/>
          <w:lang w:val="en-US"/>
        </w:rPr>
        <w:t xml:space="preserve">, S., </w:t>
      </w:r>
      <w:proofErr w:type="spellStart"/>
      <w:r w:rsidRPr="00B22829">
        <w:rPr>
          <w:rFonts w:ascii="Times New Roman" w:hAnsi="Times New Roman"/>
          <w:b/>
          <w:sz w:val="28"/>
          <w:lang w:val="en-US"/>
        </w:rPr>
        <w:t>Hebli</w:t>
      </w:r>
      <w:proofErr w:type="spellEnd"/>
      <w:r w:rsidRPr="00B22829">
        <w:rPr>
          <w:rFonts w:ascii="Times New Roman" w:hAnsi="Times New Roman"/>
          <w:b/>
          <w:sz w:val="28"/>
          <w:lang w:val="en-US"/>
        </w:rPr>
        <w:t xml:space="preserve">, P., </w:t>
      </w:r>
      <w:proofErr w:type="spellStart"/>
      <w:r w:rsidRPr="00B22829">
        <w:rPr>
          <w:rFonts w:ascii="Times New Roman" w:hAnsi="Times New Roman"/>
          <w:b/>
          <w:sz w:val="28"/>
          <w:lang w:val="en-US"/>
        </w:rPr>
        <w:t>Brotee</w:t>
      </w:r>
      <w:proofErr w:type="spellEnd"/>
      <w:r w:rsidRPr="00B22829">
        <w:rPr>
          <w:rFonts w:ascii="Times New Roman" w:hAnsi="Times New Roman"/>
          <w:b/>
          <w:sz w:val="28"/>
          <w:lang w:val="en-US"/>
        </w:rPr>
        <w:t xml:space="preserve">, S., &amp; Das, S. (2025). Post-Quantum Cryptography and Quantum-Safe Security: A Comprehensive Survey. </w:t>
      </w:r>
      <w:proofErr w:type="spellStart"/>
      <w:r w:rsidRPr="00B22829">
        <w:rPr>
          <w:rFonts w:ascii="Times New Roman" w:hAnsi="Times New Roman"/>
          <w:b/>
          <w:sz w:val="28"/>
          <w:lang w:val="en-US"/>
        </w:rPr>
        <w:t>arXiv</w:t>
      </w:r>
      <w:proofErr w:type="spellEnd"/>
      <w:r w:rsidRPr="00B22829">
        <w:rPr>
          <w:rFonts w:ascii="Times New Roman" w:hAnsi="Times New Roman"/>
          <w:b/>
          <w:sz w:val="28"/>
          <w:lang w:val="en-US"/>
        </w:rPr>
        <w:t xml:space="preserve"> preprint. DOI: 10.48550/arXiv.2510.10436.</w:t>
      </w:r>
    </w:p>
    <w:p w14:paraId="02000000" w14:textId="77777777" w:rsidR="00924B87" w:rsidRPr="00B22829" w:rsidRDefault="00924B87">
      <w:pPr>
        <w:spacing w:after="0" w:line="360" w:lineRule="auto"/>
        <w:ind w:firstLine="709"/>
        <w:jc w:val="both"/>
        <w:rPr>
          <w:rFonts w:ascii="Times New Roman" w:hAnsi="Times New Roman"/>
          <w:b/>
          <w:sz w:val="28"/>
          <w:lang w:val="en-US"/>
        </w:rPr>
      </w:pPr>
    </w:p>
    <w:p w14:paraId="03000000" w14:textId="77777777" w:rsidR="00924B87" w:rsidRPr="00B22829" w:rsidRDefault="00DA545D">
      <w:pPr>
        <w:spacing w:after="0" w:line="360" w:lineRule="auto"/>
        <w:ind w:firstLine="709"/>
        <w:jc w:val="both"/>
        <w:rPr>
          <w:rFonts w:ascii="Times New Roman" w:hAnsi="Times New Roman"/>
          <w:b/>
          <w:sz w:val="28"/>
          <w:lang w:val="en-US"/>
        </w:rPr>
      </w:pPr>
      <w:r w:rsidRPr="00B22829">
        <w:rPr>
          <w:rFonts w:ascii="Times New Roman" w:hAnsi="Times New Roman"/>
          <w:b/>
          <w:sz w:val="28"/>
          <w:lang w:val="en-US"/>
        </w:rPr>
        <w:t>Abstract</w:t>
      </w:r>
    </w:p>
    <w:p w14:paraId="04000000" w14:textId="77777777" w:rsidR="00924B87" w:rsidRPr="00B22829" w:rsidRDefault="00DA545D">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 xml:space="preserve">The article «Post-Quantum Cryptography and </w:t>
      </w:r>
      <w:r w:rsidRPr="00B22829">
        <w:rPr>
          <w:rFonts w:ascii="Times New Roman" w:hAnsi="Times New Roman"/>
          <w:sz w:val="28"/>
          <w:lang w:val="en-US"/>
        </w:rPr>
        <w:t>Quantum-Safe Security: A Comprehensive Survey» provides an up-to-date overview of the transition from theoretical post-quantum cryptography (PQC) to practical deployment, following NIST’s finalization of standards for ML‑KEM, ML‑DSA, and SLH‑DSA. The autho</w:t>
      </w:r>
      <w:r w:rsidRPr="00B22829">
        <w:rPr>
          <w:rFonts w:ascii="Times New Roman" w:hAnsi="Times New Roman"/>
          <w:sz w:val="28"/>
          <w:lang w:val="en-US"/>
        </w:rPr>
        <w:t>rs develop a comprehensive taxonomy across six cryptographic families—lattice‑based, code‑based, hash‑based, multivariate, isogeny‑based, and MPC‑in‑the‑Head—summarizing security assumptions, cryptanalysis results, and standardization status. The paper pre</w:t>
      </w:r>
      <w:r w:rsidRPr="00B22829">
        <w:rPr>
          <w:rFonts w:ascii="Times New Roman" w:hAnsi="Times New Roman"/>
          <w:sz w:val="28"/>
          <w:lang w:val="en-US"/>
        </w:rPr>
        <w:t>sents implementation‑grounded performance measurements and reviews hardware acceleration techniques (AVX2, FPGA/ASIC) with a focus on side‑channel resistance. Building upward, the survey examines protocol integration (TLS, DNSSEC), PKI certificate hygiene,</w:t>
      </w:r>
      <w:r w:rsidRPr="00B22829">
        <w:rPr>
          <w:rFonts w:ascii="Times New Roman" w:hAnsi="Times New Roman"/>
          <w:sz w:val="28"/>
          <w:lang w:val="en-US"/>
        </w:rPr>
        <w:t xml:space="preserve"> and deployment in constrained environments (IoT, cloud, finance, blockchain). The authors emphasize crypto‑agility and hybrid migration strategies, concluding with open problems spanning parameter agility, leakage‑resilient implementations, and domain‑spe</w:t>
      </w:r>
      <w:r w:rsidRPr="00B22829">
        <w:rPr>
          <w:rFonts w:ascii="Times New Roman" w:hAnsi="Times New Roman"/>
          <w:sz w:val="28"/>
          <w:lang w:val="en-US"/>
        </w:rPr>
        <w:t>cific rollout playbooks. This survey serves as a practical reference for researchers and practitioners planning quantum‑safe systems, bridging standards, engineering, and operations.</w:t>
      </w:r>
    </w:p>
    <w:p w14:paraId="05000000" w14:textId="77777777" w:rsidR="00924B87" w:rsidRPr="00B22829" w:rsidRDefault="00924B87">
      <w:pPr>
        <w:spacing w:after="0" w:line="360" w:lineRule="auto"/>
        <w:ind w:firstLine="709"/>
        <w:jc w:val="both"/>
        <w:rPr>
          <w:rFonts w:ascii="Times New Roman" w:hAnsi="Times New Roman"/>
          <w:sz w:val="28"/>
          <w:lang w:val="en-US"/>
        </w:rPr>
      </w:pPr>
    </w:p>
    <w:p w14:paraId="06000000" w14:textId="77777777" w:rsidR="00924B87" w:rsidRPr="00B22829" w:rsidRDefault="00DA545D">
      <w:pPr>
        <w:rPr>
          <w:rFonts w:ascii="Times New Roman" w:hAnsi="Times New Roman"/>
          <w:sz w:val="28"/>
          <w:lang w:val="en-US"/>
        </w:rPr>
      </w:pPr>
      <w:r w:rsidRPr="00B22829">
        <w:rPr>
          <w:rFonts w:ascii="Times New Roman" w:hAnsi="Times New Roman"/>
          <w:sz w:val="28"/>
          <w:lang w:val="en-US"/>
        </w:rPr>
        <w:br w:type="page"/>
      </w:r>
    </w:p>
    <w:p w14:paraId="17F71331" w14:textId="77777777" w:rsidR="00B22829" w:rsidRPr="003428E0" w:rsidRDefault="00B22829" w:rsidP="00B22829">
      <w:pPr>
        <w:spacing w:after="0" w:line="360" w:lineRule="auto"/>
        <w:ind w:firstLine="709"/>
        <w:jc w:val="both"/>
        <w:rPr>
          <w:rFonts w:ascii="Times New Roman" w:hAnsi="Times New Roman"/>
          <w:b/>
          <w:bCs/>
          <w:sz w:val="28"/>
          <w:lang w:val="en-US"/>
        </w:rPr>
      </w:pPr>
      <w:r w:rsidRPr="003428E0">
        <w:rPr>
          <w:rFonts w:ascii="Times New Roman" w:hAnsi="Times New Roman"/>
          <w:b/>
          <w:bCs/>
          <w:sz w:val="28"/>
          <w:lang w:val="en-US"/>
        </w:rPr>
        <w:lastRenderedPageBreak/>
        <w:t xml:space="preserve">Zhang, C. (2025). State-of-the-Art Approaches to Enhancing Privacy Preservation of Machine Learning Datasets: A Survey. </w:t>
      </w:r>
      <w:proofErr w:type="spellStart"/>
      <w:r w:rsidRPr="003428E0">
        <w:rPr>
          <w:rFonts w:ascii="Times New Roman" w:hAnsi="Times New Roman"/>
          <w:b/>
          <w:bCs/>
          <w:sz w:val="28"/>
          <w:lang w:val="en-US"/>
        </w:rPr>
        <w:t>arXiv</w:t>
      </w:r>
      <w:proofErr w:type="spellEnd"/>
      <w:r w:rsidRPr="003428E0">
        <w:rPr>
          <w:rFonts w:ascii="Times New Roman" w:hAnsi="Times New Roman"/>
          <w:b/>
          <w:bCs/>
          <w:sz w:val="28"/>
          <w:lang w:val="en-US"/>
        </w:rPr>
        <w:t xml:space="preserve"> preprint. DOI: 10.48550/arXiv.2404.16847.</w:t>
      </w:r>
    </w:p>
    <w:p w14:paraId="7CA7F831" w14:textId="77777777" w:rsidR="00B22829" w:rsidRPr="003428E0" w:rsidRDefault="00B22829" w:rsidP="00B22829">
      <w:pPr>
        <w:spacing w:after="0" w:line="360" w:lineRule="auto"/>
        <w:ind w:firstLine="709"/>
        <w:jc w:val="both"/>
        <w:rPr>
          <w:rFonts w:ascii="Times New Roman" w:hAnsi="Times New Roman"/>
          <w:b/>
          <w:bCs/>
          <w:sz w:val="28"/>
          <w:lang w:val="en-US"/>
        </w:rPr>
      </w:pPr>
    </w:p>
    <w:p w14:paraId="21D79B70" w14:textId="52E9753F" w:rsidR="00B22829" w:rsidRPr="003428E0" w:rsidRDefault="00B22829" w:rsidP="00B22829">
      <w:pPr>
        <w:spacing w:after="0" w:line="360" w:lineRule="auto"/>
        <w:ind w:firstLine="709"/>
        <w:jc w:val="both"/>
        <w:rPr>
          <w:rFonts w:ascii="Times New Roman" w:hAnsi="Times New Roman"/>
          <w:b/>
          <w:bCs/>
          <w:sz w:val="28"/>
          <w:lang w:val="en-US"/>
        </w:rPr>
      </w:pPr>
      <w:r w:rsidRPr="003428E0">
        <w:rPr>
          <w:rFonts w:ascii="Times New Roman" w:hAnsi="Times New Roman"/>
          <w:b/>
          <w:bCs/>
          <w:sz w:val="28"/>
          <w:lang w:val="en-US"/>
        </w:rPr>
        <w:t>Abstract</w:t>
      </w:r>
    </w:p>
    <w:p w14:paraId="0A000000" w14:textId="49FF0A90" w:rsidR="00924B87" w:rsidRPr="00E24970" w:rsidRDefault="00DA545D" w:rsidP="00487328">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The article «State-of-the-Art Approaches to Enhancing Privacy Preservation of Machine Learning Datasets: A Survey» examines the evolving l</w:t>
      </w:r>
      <w:r w:rsidRPr="00B22829">
        <w:rPr>
          <w:rFonts w:ascii="Times New Roman" w:hAnsi="Times New Roman"/>
          <w:sz w:val="28"/>
          <w:lang w:val="en-US"/>
        </w:rPr>
        <w:t xml:space="preserve">andscape of privacy‑preserving machine learning (PPML) in response to growing privacy concerns in ML applications. The authors analyze the spectrum of threat models characterizing adversarial intentions including membership inference, attribute inference, </w:t>
      </w:r>
      <w:r w:rsidRPr="00B22829">
        <w:rPr>
          <w:rFonts w:ascii="Times New Roman" w:hAnsi="Times New Roman"/>
          <w:sz w:val="28"/>
          <w:lang w:val="en-US"/>
        </w:rPr>
        <w:t xml:space="preserve">and data reconstruction attacks. </w:t>
      </w:r>
      <w:r w:rsidR="00830D2A" w:rsidRPr="00830D2A">
        <w:rPr>
          <w:rFonts w:ascii="Times New Roman" w:hAnsi="Times New Roman"/>
          <w:sz w:val="28"/>
          <w:lang w:val="en-US"/>
        </w:rPr>
        <w:t xml:space="preserve">Moreover Zhang, C. et al discuss </w:t>
      </w:r>
      <w:r w:rsidRPr="00B22829">
        <w:rPr>
          <w:rFonts w:ascii="Times New Roman" w:hAnsi="Times New Roman"/>
          <w:sz w:val="28"/>
          <w:lang w:val="en-US"/>
        </w:rPr>
        <w:t>their implications for model confidentiality. The paper provides a comprehensive analysis of privacy leakage risks and countermeasures in both centralized and collaborative learning setting</w:t>
      </w:r>
      <w:r w:rsidRPr="00B22829">
        <w:rPr>
          <w:rFonts w:ascii="Times New Roman" w:hAnsi="Times New Roman"/>
          <w:sz w:val="28"/>
          <w:lang w:val="en-US"/>
        </w:rPr>
        <w:t>s. It explores the fundamental trade‑off between data privacy and model utility, shedding light on privacy‑preserving techniques that leverage cryptographic methods (homomorphic encryption, secure multi‑party computation), differential privacy, and trusted</w:t>
      </w:r>
      <w:r w:rsidRPr="00B22829">
        <w:rPr>
          <w:rFonts w:ascii="Times New Roman" w:hAnsi="Times New Roman"/>
          <w:sz w:val="28"/>
          <w:lang w:val="en-US"/>
        </w:rPr>
        <w:t xml:space="preserve"> execution environments.</w:t>
      </w:r>
      <w:r w:rsidR="00E24970" w:rsidRPr="00E24970">
        <w:rPr>
          <w:lang w:val="en-US"/>
        </w:rPr>
        <w:t xml:space="preserve"> </w:t>
      </w:r>
      <w:r w:rsidR="00E24970" w:rsidRPr="00E24970">
        <w:rPr>
          <w:rFonts w:ascii="Times New Roman" w:hAnsi="Times New Roman"/>
          <w:sz w:val="28"/>
          <w:lang w:val="en-US"/>
        </w:rPr>
        <w:t>The discussion extends the application of these techniques in sensitive domains such as telecommunications, financial technology, and surveillance, underscoring the critical role of PPML in ensuring the privacy and security of ML systems</w:t>
      </w:r>
      <w:r w:rsidR="00E24970" w:rsidRPr="00E24970">
        <w:rPr>
          <w:rFonts w:ascii="Times New Roman" w:hAnsi="Times New Roman"/>
          <w:sz w:val="28"/>
          <w:lang w:val="en-US"/>
        </w:rPr>
        <w:t>.</w:t>
      </w:r>
    </w:p>
    <w:p w14:paraId="0B000000" w14:textId="77777777" w:rsidR="00924B87" w:rsidRPr="00B22829" w:rsidRDefault="00924B87">
      <w:pPr>
        <w:spacing w:after="0" w:line="360" w:lineRule="auto"/>
        <w:ind w:firstLine="709"/>
        <w:jc w:val="both"/>
        <w:rPr>
          <w:rFonts w:ascii="Times New Roman" w:hAnsi="Times New Roman"/>
          <w:sz w:val="28"/>
          <w:lang w:val="en-US"/>
        </w:rPr>
      </w:pPr>
    </w:p>
    <w:p w14:paraId="0C000000" w14:textId="77777777" w:rsidR="00924B87" w:rsidRPr="00B22829" w:rsidRDefault="00DA545D">
      <w:pPr>
        <w:rPr>
          <w:rFonts w:ascii="Times New Roman" w:hAnsi="Times New Roman"/>
          <w:sz w:val="28"/>
          <w:lang w:val="en-US"/>
        </w:rPr>
      </w:pPr>
      <w:r w:rsidRPr="00B22829">
        <w:rPr>
          <w:rFonts w:ascii="Times New Roman" w:hAnsi="Times New Roman"/>
          <w:sz w:val="28"/>
          <w:lang w:val="en-US"/>
        </w:rPr>
        <w:br w:type="page"/>
      </w:r>
    </w:p>
    <w:p w14:paraId="0D86666B" w14:textId="77777777" w:rsidR="00E21D99" w:rsidRPr="00E21D99" w:rsidRDefault="00E21D99" w:rsidP="00E21D99">
      <w:pPr>
        <w:spacing w:after="0" w:line="360" w:lineRule="auto"/>
        <w:ind w:firstLine="709"/>
        <w:jc w:val="both"/>
        <w:rPr>
          <w:rFonts w:ascii="Times New Roman" w:hAnsi="Times New Roman"/>
          <w:b/>
          <w:bCs/>
          <w:sz w:val="28"/>
          <w:lang w:val="en-US"/>
        </w:rPr>
      </w:pPr>
      <w:r w:rsidRPr="00E21D99">
        <w:rPr>
          <w:rFonts w:ascii="Times New Roman" w:hAnsi="Times New Roman"/>
          <w:b/>
          <w:bCs/>
          <w:sz w:val="28"/>
          <w:lang w:val="en-US"/>
        </w:rPr>
        <w:lastRenderedPageBreak/>
        <w:t xml:space="preserve">Wahab, A., &amp; Mehmood, W. (2018). Survey of Consensus Protocols. </w:t>
      </w:r>
      <w:proofErr w:type="spellStart"/>
      <w:r w:rsidRPr="00E21D99">
        <w:rPr>
          <w:rFonts w:ascii="Times New Roman" w:hAnsi="Times New Roman"/>
          <w:b/>
          <w:bCs/>
          <w:sz w:val="28"/>
          <w:lang w:val="en-US"/>
        </w:rPr>
        <w:t>arXiv</w:t>
      </w:r>
      <w:proofErr w:type="spellEnd"/>
      <w:r w:rsidRPr="00E21D99">
        <w:rPr>
          <w:rFonts w:ascii="Times New Roman" w:hAnsi="Times New Roman"/>
          <w:b/>
          <w:bCs/>
          <w:sz w:val="28"/>
          <w:lang w:val="en-US"/>
        </w:rPr>
        <w:t xml:space="preserve"> preprint. DOI: 10.48550/arXiv.1810.03357.</w:t>
      </w:r>
    </w:p>
    <w:p w14:paraId="7813C16D" w14:textId="77777777" w:rsidR="00E21D99" w:rsidRPr="00E21D99" w:rsidRDefault="00E21D99" w:rsidP="00E21D99">
      <w:pPr>
        <w:spacing w:after="0" w:line="360" w:lineRule="auto"/>
        <w:ind w:firstLine="709"/>
        <w:jc w:val="both"/>
        <w:rPr>
          <w:rFonts w:ascii="Times New Roman" w:hAnsi="Times New Roman"/>
          <w:b/>
          <w:bCs/>
          <w:sz w:val="28"/>
          <w:lang w:val="en-US"/>
        </w:rPr>
      </w:pPr>
    </w:p>
    <w:p w14:paraId="241535D9" w14:textId="28F07965" w:rsidR="00E21D99" w:rsidRPr="00E21D99" w:rsidRDefault="00E21D99" w:rsidP="00E21D99">
      <w:pPr>
        <w:spacing w:after="0" w:line="360" w:lineRule="auto"/>
        <w:ind w:firstLine="709"/>
        <w:jc w:val="both"/>
        <w:rPr>
          <w:rFonts w:ascii="Times New Roman" w:hAnsi="Times New Roman"/>
          <w:b/>
          <w:bCs/>
          <w:sz w:val="28"/>
          <w:lang w:val="en-US"/>
        </w:rPr>
      </w:pPr>
      <w:r w:rsidRPr="00E21D99">
        <w:rPr>
          <w:rFonts w:ascii="Times New Roman" w:hAnsi="Times New Roman"/>
          <w:b/>
          <w:bCs/>
          <w:sz w:val="28"/>
          <w:lang w:val="en-US"/>
        </w:rPr>
        <w:t>Abstract</w:t>
      </w:r>
    </w:p>
    <w:p w14:paraId="10000000" w14:textId="5557CB0B" w:rsidR="00924B87" w:rsidRPr="00B22829" w:rsidRDefault="00DA545D" w:rsidP="00487328">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The article «Survey of Consensus Protocols» provides a systematic review of consensus mechanisms underlying distr</w:t>
      </w:r>
      <w:r w:rsidRPr="00B22829">
        <w:rPr>
          <w:rFonts w:ascii="Times New Roman" w:hAnsi="Times New Roman"/>
          <w:sz w:val="28"/>
          <w:lang w:val="en-US"/>
        </w:rPr>
        <w:t>ibuted ledger technologies and blockchain systems. The authors begin by establishing the foundational role of consensus protocols in ensuring security, accountability, and trust in distributed networks without a central authority. The paper reviews differe</w:t>
      </w:r>
      <w:r w:rsidRPr="00B22829">
        <w:rPr>
          <w:rFonts w:ascii="Times New Roman" w:hAnsi="Times New Roman"/>
          <w:sz w:val="28"/>
          <w:lang w:val="en-US"/>
        </w:rPr>
        <w:t>nt consensus protocols ranging from Proof of Work (</w:t>
      </w:r>
      <w:proofErr w:type="spellStart"/>
      <w:r w:rsidRPr="00B22829">
        <w:rPr>
          <w:rFonts w:ascii="Times New Roman" w:hAnsi="Times New Roman"/>
          <w:sz w:val="28"/>
          <w:lang w:val="en-US"/>
        </w:rPr>
        <w:t>PoW</w:t>
      </w:r>
      <w:proofErr w:type="spellEnd"/>
      <w:r w:rsidRPr="00B22829">
        <w:rPr>
          <w:rFonts w:ascii="Times New Roman" w:hAnsi="Times New Roman"/>
          <w:sz w:val="28"/>
          <w:lang w:val="en-US"/>
        </w:rPr>
        <w:t>)—the mechanism behind Bitcoin—to Proof of Stake (</w:t>
      </w:r>
      <w:proofErr w:type="spellStart"/>
      <w:r w:rsidRPr="00B22829">
        <w:rPr>
          <w:rFonts w:ascii="Times New Roman" w:hAnsi="Times New Roman"/>
          <w:sz w:val="28"/>
          <w:lang w:val="en-US"/>
        </w:rPr>
        <w:t>PoS</w:t>
      </w:r>
      <w:proofErr w:type="spellEnd"/>
      <w:r w:rsidRPr="00B22829">
        <w:rPr>
          <w:rFonts w:ascii="Times New Roman" w:hAnsi="Times New Roman"/>
          <w:sz w:val="28"/>
          <w:lang w:val="en-US"/>
        </w:rPr>
        <w:t>) variants, Byzantine Fault Tolerance (BFT) protocols, and their implementations across various platforms. The authors analyze each protocol’s proper</w:t>
      </w:r>
      <w:r w:rsidRPr="00B22829">
        <w:rPr>
          <w:rFonts w:ascii="Times New Roman" w:hAnsi="Times New Roman"/>
          <w:sz w:val="28"/>
          <w:lang w:val="en-US"/>
        </w:rPr>
        <w:t>ties, core concepts, and similar‑work comparisons, followed by a brief performance evaluation. The survey also discusses ongoing research directions, including efforts to make consensus protocols quantum‑resistant, fault‑tolerant, and energy‑efficient. Thi</w:t>
      </w:r>
      <w:r w:rsidRPr="00B22829">
        <w:rPr>
          <w:rFonts w:ascii="Times New Roman" w:hAnsi="Times New Roman"/>
          <w:sz w:val="28"/>
          <w:lang w:val="en-US"/>
        </w:rPr>
        <w:t>s paper serves as a valuable resource for understanding the design space of consensus mechanisms and their suitability for specific use cases in distributed systems and blockchain applications.</w:t>
      </w:r>
    </w:p>
    <w:p w14:paraId="11000000" w14:textId="77777777" w:rsidR="00924B87" w:rsidRPr="00B22829" w:rsidRDefault="00924B87">
      <w:pPr>
        <w:spacing w:after="0" w:line="360" w:lineRule="auto"/>
        <w:ind w:firstLine="709"/>
        <w:jc w:val="both"/>
        <w:rPr>
          <w:rFonts w:ascii="Times New Roman" w:hAnsi="Times New Roman"/>
          <w:sz w:val="28"/>
          <w:lang w:val="en-US"/>
        </w:rPr>
      </w:pPr>
    </w:p>
    <w:p w14:paraId="12000000" w14:textId="77777777" w:rsidR="00924B87" w:rsidRPr="00B22829" w:rsidRDefault="00DA545D">
      <w:pPr>
        <w:rPr>
          <w:rFonts w:ascii="Times New Roman" w:hAnsi="Times New Roman"/>
          <w:sz w:val="28"/>
          <w:lang w:val="en-US"/>
        </w:rPr>
      </w:pPr>
      <w:r w:rsidRPr="00B22829">
        <w:rPr>
          <w:rFonts w:ascii="Times New Roman" w:hAnsi="Times New Roman"/>
          <w:sz w:val="28"/>
          <w:lang w:val="en-US"/>
        </w:rPr>
        <w:br w:type="page"/>
      </w:r>
    </w:p>
    <w:p w14:paraId="78DA1B24" w14:textId="77777777" w:rsidR="00080D88" w:rsidRPr="00080D88" w:rsidRDefault="00080D88" w:rsidP="00080D88">
      <w:pPr>
        <w:spacing w:after="0" w:line="360" w:lineRule="auto"/>
        <w:ind w:firstLine="709"/>
        <w:jc w:val="both"/>
        <w:rPr>
          <w:rFonts w:ascii="Times New Roman" w:hAnsi="Times New Roman"/>
          <w:b/>
          <w:bCs/>
          <w:sz w:val="28"/>
          <w:lang w:val="en-US"/>
        </w:rPr>
      </w:pPr>
      <w:r w:rsidRPr="00080D88">
        <w:rPr>
          <w:rFonts w:ascii="Times New Roman" w:hAnsi="Times New Roman"/>
          <w:b/>
          <w:bCs/>
          <w:sz w:val="28"/>
          <w:lang w:val="en-US"/>
        </w:rPr>
        <w:lastRenderedPageBreak/>
        <w:t xml:space="preserve">Xiao, Y., Zhang, N., Lou, W., &amp; Hou, Y. T. (2019). A Survey of Distributed Consensus Protocols for Blockchain Networks. </w:t>
      </w:r>
      <w:proofErr w:type="spellStart"/>
      <w:r w:rsidRPr="00080D88">
        <w:rPr>
          <w:rFonts w:ascii="Times New Roman" w:hAnsi="Times New Roman"/>
          <w:b/>
          <w:bCs/>
          <w:sz w:val="28"/>
          <w:lang w:val="en-US"/>
        </w:rPr>
        <w:t>arXiv</w:t>
      </w:r>
      <w:proofErr w:type="spellEnd"/>
      <w:r w:rsidRPr="00080D88">
        <w:rPr>
          <w:rFonts w:ascii="Times New Roman" w:hAnsi="Times New Roman"/>
          <w:b/>
          <w:bCs/>
          <w:sz w:val="28"/>
          <w:lang w:val="en-US"/>
        </w:rPr>
        <w:t xml:space="preserve"> preprint. DOI: 10.48550/arXiv.1904.04098.</w:t>
      </w:r>
    </w:p>
    <w:p w14:paraId="6250237F" w14:textId="77777777" w:rsidR="00080D88" w:rsidRPr="00080D88" w:rsidRDefault="00080D88" w:rsidP="00080D88">
      <w:pPr>
        <w:spacing w:after="0" w:line="360" w:lineRule="auto"/>
        <w:ind w:firstLine="709"/>
        <w:jc w:val="both"/>
        <w:rPr>
          <w:rFonts w:ascii="Times New Roman" w:hAnsi="Times New Roman"/>
          <w:b/>
          <w:bCs/>
          <w:sz w:val="28"/>
          <w:lang w:val="en-US"/>
        </w:rPr>
      </w:pPr>
    </w:p>
    <w:p w14:paraId="6D6EBD7A" w14:textId="77777777" w:rsidR="00080D88" w:rsidRPr="00080D88" w:rsidRDefault="00080D88" w:rsidP="00080D88">
      <w:pPr>
        <w:spacing w:after="0" w:line="360" w:lineRule="auto"/>
        <w:ind w:firstLine="709"/>
        <w:jc w:val="both"/>
        <w:rPr>
          <w:rFonts w:ascii="Times New Roman" w:hAnsi="Times New Roman"/>
          <w:b/>
          <w:bCs/>
          <w:sz w:val="28"/>
          <w:lang w:val="en-US"/>
        </w:rPr>
      </w:pPr>
      <w:r w:rsidRPr="00080D88">
        <w:rPr>
          <w:rFonts w:ascii="Times New Roman" w:hAnsi="Times New Roman"/>
          <w:b/>
          <w:bCs/>
          <w:sz w:val="28"/>
          <w:lang w:val="en-US"/>
        </w:rPr>
        <w:t>Abstract</w:t>
      </w:r>
    </w:p>
    <w:p w14:paraId="16000000" w14:textId="2984F9C5" w:rsidR="00924B87" w:rsidRPr="00B22829" w:rsidRDefault="00DA545D" w:rsidP="00080D88">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 xml:space="preserve">The article «A Survey of Distributed Consensus Protocols for Blockchain Networks» presents a comprehensive review and analysis </w:t>
      </w:r>
      <w:r w:rsidRPr="00B22829">
        <w:rPr>
          <w:rFonts w:ascii="Times New Roman" w:hAnsi="Times New Roman"/>
          <w:sz w:val="28"/>
          <w:lang w:val="en-US"/>
        </w:rPr>
        <w:t>of state‑of‑the‑art consensus protocols for blockchain networks. The authors identify five core components of blockchain consensus—block proposal, block validation, information propagation, block finalization, and incentive mechanism—and use this framework</w:t>
      </w:r>
      <w:r w:rsidRPr="00B22829">
        <w:rPr>
          <w:rFonts w:ascii="Times New Roman" w:hAnsi="Times New Roman"/>
          <w:sz w:val="28"/>
          <w:lang w:val="en-US"/>
        </w:rPr>
        <w:t xml:space="preserve"> to systematically analyze a wide spectrum of protocols. The survey covers Nakamoto consensus (</w:t>
      </w:r>
      <w:proofErr w:type="spellStart"/>
      <w:r w:rsidRPr="00B22829">
        <w:rPr>
          <w:rFonts w:ascii="Times New Roman" w:hAnsi="Times New Roman"/>
          <w:sz w:val="28"/>
          <w:lang w:val="en-US"/>
        </w:rPr>
        <w:t>PoW</w:t>
      </w:r>
      <w:proofErr w:type="spellEnd"/>
      <w:r w:rsidRPr="00B22829">
        <w:rPr>
          <w:rFonts w:ascii="Times New Roman" w:hAnsi="Times New Roman"/>
          <w:sz w:val="28"/>
          <w:lang w:val="en-US"/>
        </w:rPr>
        <w:t>) and its modifications, Proof of Stake variants, Practical Byzantine Fault Tolerance (PBFT) and its derivatives, as well as emerging directed acyclic graph (</w:t>
      </w:r>
      <w:r w:rsidRPr="00B22829">
        <w:rPr>
          <w:rFonts w:ascii="Times New Roman" w:hAnsi="Times New Roman"/>
          <w:sz w:val="28"/>
          <w:lang w:val="en-US"/>
        </w:rPr>
        <w:t>DAG)‑based protocols. Each protocol is examined with respect to its fault tolerance assumptions, security properties, scalability characteristics, and inherent trade‑offs. The authors provide vulnerability analyses and performance comparisons across key me</w:t>
      </w:r>
      <w:r w:rsidRPr="00B22829">
        <w:rPr>
          <w:rFonts w:ascii="Times New Roman" w:hAnsi="Times New Roman"/>
          <w:sz w:val="28"/>
          <w:lang w:val="en-US"/>
        </w:rPr>
        <w:t>trics, offering new insights into the fundamental differences between proposals. The paper concludes with a tutorial section and quantitative comparison, making it a valuable resource for blockchain developers and researchers designing future protocols.</w:t>
      </w:r>
    </w:p>
    <w:p w14:paraId="17000000" w14:textId="77777777" w:rsidR="00924B87" w:rsidRPr="00B22829" w:rsidRDefault="00924B87">
      <w:pPr>
        <w:spacing w:after="0" w:line="360" w:lineRule="auto"/>
        <w:ind w:firstLine="709"/>
        <w:jc w:val="both"/>
        <w:rPr>
          <w:rFonts w:ascii="Times New Roman" w:hAnsi="Times New Roman"/>
          <w:sz w:val="28"/>
          <w:lang w:val="en-US"/>
        </w:rPr>
      </w:pPr>
    </w:p>
    <w:p w14:paraId="18000000" w14:textId="77777777" w:rsidR="00924B87" w:rsidRPr="00B22829" w:rsidRDefault="00DA545D">
      <w:pPr>
        <w:rPr>
          <w:rFonts w:ascii="Times New Roman" w:hAnsi="Times New Roman"/>
          <w:sz w:val="28"/>
          <w:lang w:val="en-US"/>
        </w:rPr>
      </w:pPr>
      <w:r w:rsidRPr="00B22829">
        <w:rPr>
          <w:rFonts w:ascii="Times New Roman" w:hAnsi="Times New Roman"/>
          <w:sz w:val="28"/>
          <w:lang w:val="en-US"/>
        </w:rPr>
        <w:br w:type="page"/>
      </w:r>
    </w:p>
    <w:p w14:paraId="669F246C" w14:textId="77777777" w:rsidR="00C82403" w:rsidRPr="00C82403" w:rsidRDefault="00C82403" w:rsidP="00C82403">
      <w:pPr>
        <w:spacing w:after="0" w:line="360" w:lineRule="auto"/>
        <w:ind w:firstLine="709"/>
        <w:jc w:val="both"/>
        <w:rPr>
          <w:rFonts w:ascii="Times New Roman" w:hAnsi="Times New Roman"/>
          <w:b/>
          <w:bCs/>
          <w:sz w:val="28"/>
          <w:lang w:val="en-US"/>
        </w:rPr>
      </w:pPr>
      <w:proofErr w:type="spellStart"/>
      <w:r w:rsidRPr="00C82403">
        <w:rPr>
          <w:rFonts w:ascii="Times New Roman" w:hAnsi="Times New Roman"/>
          <w:b/>
          <w:bCs/>
          <w:sz w:val="28"/>
          <w:lang w:val="en-US"/>
        </w:rPr>
        <w:lastRenderedPageBreak/>
        <w:t>Ustimenko</w:t>
      </w:r>
      <w:proofErr w:type="spellEnd"/>
      <w:r w:rsidRPr="00C82403">
        <w:rPr>
          <w:rFonts w:ascii="Times New Roman" w:hAnsi="Times New Roman"/>
          <w:b/>
          <w:bCs/>
          <w:sz w:val="28"/>
          <w:lang w:val="en-US"/>
        </w:rPr>
        <w:t xml:space="preserve">, V. (2024). On historical Multivariate Cryptosystems and their restorations as instruments of Post-Quantum Cryptography. IACR Cryptology </w:t>
      </w:r>
      <w:proofErr w:type="spellStart"/>
      <w:r w:rsidRPr="00C82403">
        <w:rPr>
          <w:rFonts w:ascii="Times New Roman" w:hAnsi="Times New Roman"/>
          <w:b/>
          <w:bCs/>
          <w:sz w:val="28"/>
          <w:lang w:val="en-US"/>
        </w:rPr>
        <w:t>ePrint</w:t>
      </w:r>
      <w:proofErr w:type="spellEnd"/>
      <w:r w:rsidRPr="00C82403">
        <w:rPr>
          <w:rFonts w:ascii="Times New Roman" w:hAnsi="Times New Roman"/>
          <w:b/>
          <w:bCs/>
          <w:sz w:val="28"/>
          <w:lang w:val="en-US"/>
        </w:rPr>
        <w:t xml:space="preserve"> Archive, Report 2024/091. DOI: 10.48550/arXiv.2404.16847.</w:t>
      </w:r>
    </w:p>
    <w:p w14:paraId="024543F7" w14:textId="77777777" w:rsidR="00C82403" w:rsidRPr="00C82403" w:rsidRDefault="00C82403" w:rsidP="00C82403">
      <w:pPr>
        <w:spacing w:after="0" w:line="360" w:lineRule="auto"/>
        <w:ind w:firstLine="709"/>
        <w:jc w:val="both"/>
        <w:rPr>
          <w:rFonts w:ascii="Times New Roman" w:hAnsi="Times New Roman"/>
          <w:b/>
          <w:bCs/>
          <w:sz w:val="28"/>
          <w:lang w:val="en-US"/>
        </w:rPr>
      </w:pPr>
    </w:p>
    <w:p w14:paraId="3C750B4C" w14:textId="364D1074" w:rsidR="00C82403" w:rsidRPr="00C82403" w:rsidRDefault="00C82403" w:rsidP="00C82403">
      <w:pPr>
        <w:spacing w:after="0" w:line="360" w:lineRule="auto"/>
        <w:ind w:firstLine="709"/>
        <w:jc w:val="both"/>
        <w:rPr>
          <w:rFonts w:ascii="Times New Roman" w:hAnsi="Times New Roman"/>
          <w:b/>
          <w:bCs/>
          <w:sz w:val="28"/>
          <w:lang w:val="en-US"/>
        </w:rPr>
      </w:pPr>
      <w:r w:rsidRPr="00C82403">
        <w:rPr>
          <w:rFonts w:ascii="Times New Roman" w:hAnsi="Times New Roman"/>
          <w:b/>
          <w:bCs/>
          <w:sz w:val="28"/>
          <w:lang w:val="en-US"/>
        </w:rPr>
        <w:t>Abstract</w:t>
      </w:r>
    </w:p>
    <w:p w14:paraId="1C000000" w14:textId="0D16BD9E" w:rsidR="00924B87" w:rsidRPr="00487328" w:rsidRDefault="00DA545D" w:rsidP="002D1CFF">
      <w:pPr>
        <w:spacing w:after="0" w:line="360" w:lineRule="auto"/>
        <w:ind w:firstLine="709"/>
        <w:jc w:val="both"/>
        <w:rPr>
          <w:rFonts w:ascii="Times New Roman" w:hAnsi="Times New Roman"/>
          <w:sz w:val="28"/>
          <w:lang w:val="en-US"/>
        </w:rPr>
      </w:pPr>
      <w:r w:rsidRPr="00B22829">
        <w:rPr>
          <w:rFonts w:ascii="Times New Roman" w:hAnsi="Times New Roman"/>
          <w:sz w:val="28"/>
          <w:lang w:val="en-US"/>
        </w:rPr>
        <w:t xml:space="preserve">The </w:t>
      </w:r>
      <w:r w:rsidRPr="00B22829">
        <w:rPr>
          <w:rFonts w:ascii="Times New Roman" w:hAnsi="Times New Roman"/>
          <w:sz w:val="28"/>
          <w:lang w:val="en-US"/>
        </w:rPr>
        <w:t xml:space="preserve">article «On historical Multivariate Cryptosystems and their restorations as instruments of Post-Quantum Cryptography» presents a short survey of the history of multivariate cryptography and explores how broken multivariate digital signature schemes can be </w:t>
      </w:r>
      <w:r w:rsidRPr="00B22829">
        <w:rPr>
          <w:rFonts w:ascii="Times New Roman" w:hAnsi="Times New Roman"/>
          <w:sz w:val="28"/>
          <w:lang w:val="en-US"/>
        </w:rPr>
        <w:t>repurposed in new protocol‑based cryptosystems. The author constructs general schemes combining Eulerian maps and quadratic maps with trapdoor accelerators—pieces of information that enable polynomial‑time computation of preimages. The paper illustrates th</w:t>
      </w:r>
      <w:r w:rsidRPr="00B22829">
        <w:rPr>
          <w:rFonts w:ascii="Times New Roman" w:hAnsi="Times New Roman"/>
          <w:sz w:val="28"/>
          <w:lang w:val="en-US"/>
        </w:rPr>
        <w:t>ese constructions through historical examples, including the Imai–Matsumoto multivariate digital signature schemes and the Unbalanced Oil and Vinegar (UOV) cryptosystems. The work situates these developments within the framework of noncommutative cryptogra</w:t>
      </w:r>
      <w:r w:rsidRPr="00B22829">
        <w:rPr>
          <w:rFonts w:ascii="Times New Roman" w:hAnsi="Times New Roman"/>
          <w:sz w:val="28"/>
          <w:lang w:val="en-US"/>
        </w:rPr>
        <w:t>phy, demonstrating how classical multivariate approaches can be restored and adapted as instruments for post‑quantum cryptography. This survey provides valuable insights into the evolution of multivariate cryptography and its potential for quantum‑resistan</w:t>
      </w:r>
      <w:r w:rsidRPr="00B22829">
        <w:rPr>
          <w:rFonts w:ascii="Times New Roman" w:hAnsi="Times New Roman"/>
          <w:sz w:val="28"/>
          <w:lang w:val="en-US"/>
        </w:rPr>
        <w:t>t applications.</w:t>
      </w:r>
    </w:p>
    <w:p w14:paraId="1D000000" w14:textId="77777777" w:rsidR="00924B87" w:rsidRPr="00487328" w:rsidRDefault="00924B87">
      <w:pPr>
        <w:spacing w:after="0" w:line="360" w:lineRule="auto"/>
        <w:ind w:firstLine="709"/>
        <w:jc w:val="both"/>
        <w:rPr>
          <w:rFonts w:ascii="Times New Roman" w:hAnsi="Times New Roman"/>
          <w:sz w:val="28"/>
          <w:lang w:val="en-US"/>
        </w:rPr>
      </w:pPr>
    </w:p>
    <w:p w14:paraId="096372AF" w14:textId="77777777" w:rsidR="00DA545D" w:rsidRPr="00487328" w:rsidRDefault="00DA545D">
      <w:pPr>
        <w:spacing w:after="0" w:line="360" w:lineRule="auto"/>
        <w:ind w:firstLine="709"/>
        <w:jc w:val="both"/>
        <w:rPr>
          <w:rFonts w:ascii="Times New Roman" w:hAnsi="Times New Roman"/>
          <w:sz w:val="28"/>
          <w:lang w:val="en-US"/>
        </w:rPr>
      </w:pPr>
    </w:p>
    <w:sectPr w:rsidR="00DA545D" w:rsidRPr="00487328">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XO Thames">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B87"/>
    <w:rsid w:val="00080D88"/>
    <w:rsid w:val="002D1CFF"/>
    <w:rsid w:val="003428E0"/>
    <w:rsid w:val="003A1522"/>
    <w:rsid w:val="00487328"/>
    <w:rsid w:val="00830D2A"/>
    <w:rsid w:val="00924B87"/>
    <w:rsid w:val="00B22829"/>
    <w:rsid w:val="00C82403"/>
    <w:rsid w:val="00DA545D"/>
    <w:rsid w:val="00E21D99"/>
    <w:rsid w:val="00E249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64BE"/>
  <w15:docId w15:val="{A6E9C983-04F3-4988-9A9A-29EFC0B5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12">
    <w:name w:val="Гиперссылка1"/>
    <w:link w:val="a3"/>
    <w:rPr>
      <w:color w:val="0000FF"/>
      <w:u w:val="single"/>
    </w:rPr>
  </w:style>
  <w:style w:type="character" w:styleId="a3">
    <w:name w:val="Hyperlink"/>
    <w:link w:val="12"/>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3">
    <w:name w:val="toc 1"/>
    <w:next w:val="a"/>
    <w:link w:val="14"/>
    <w:uiPriority w:val="39"/>
    <w:rPr>
      <w:rFonts w:ascii="XO Thames" w:hAnsi="XO Thames"/>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customStyle="1" w:styleId="15">
    <w:name w:val="Основной шрифт абзаца1"/>
    <w:link w:val="51"/>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4">
    <w:name w:val="Subtitle"/>
    <w:next w:val="a"/>
    <w:link w:val="a5"/>
    <w:uiPriority w:val="11"/>
    <w:qFormat/>
    <w:pPr>
      <w:jc w:val="both"/>
    </w:pPr>
    <w:rPr>
      <w:rFonts w:ascii="XO Thames" w:hAnsi="XO Thames"/>
      <w:i/>
      <w:sz w:val="24"/>
    </w:rPr>
  </w:style>
  <w:style w:type="character" w:customStyle="1" w:styleId="a5">
    <w:name w:val="Подзаголовок Знак"/>
    <w:link w:val="a4"/>
    <w:rPr>
      <w:rFonts w:ascii="XO Thames" w:hAnsi="XO Thames"/>
      <w:i/>
      <w:sz w:val="24"/>
    </w:rPr>
  </w:style>
  <w:style w:type="paragraph" w:styleId="a6">
    <w:name w:val="Title"/>
    <w:next w:val="a"/>
    <w:link w:val="a7"/>
    <w:uiPriority w:val="10"/>
    <w:qFormat/>
    <w:pPr>
      <w:spacing w:before="567" w:after="567"/>
      <w:jc w:val="center"/>
    </w:pPr>
    <w:rPr>
      <w:rFonts w:ascii="XO Thames" w:hAnsi="XO Thames"/>
      <w:b/>
      <w:caps/>
      <w:sz w:val="40"/>
    </w:rPr>
  </w:style>
  <w:style w:type="character" w:customStyle="1" w:styleId="a7">
    <w:name w:val="Заголовок Знак"/>
    <w:link w:val="a6"/>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786454">
      <w:bodyDiv w:val="1"/>
      <w:marLeft w:val="0"/>
      <w:marRight w:val="0"/>
      <w:marTop w:val="0"/>
      <w:marBottom w:val="0"/>
      <w:divBdr>
        <w:top w:val="none" w:sz="0" w:space="0" w:color="auto"/>
        <w:left w:val="none" w:sz="0" w:space="0" w:color="auto"/>
        <w:bottom w:val="none" w:sz="0" w:space="0" w:color="auto"/>
        <w:right w:val="none" w:sz="0" w:space="0" w:color="auto"/>
      </w:divBdr>
    </w:div>
    <w:div w:id="1529180228">
      <w:bodyDiv w:val="1"/>
      <w:marLeft w:val="0"/>
      <w:marRight w:val="0"/>
      <w:marTop w:val="0"/>
      <w:marBottom w:val="0"/>
      <w:divBdr>
        <w:top w:val="none" w:sz="0" w:space="0" w:color="auto"/>
        <w:left w:val="none" w:sz="0" w:space="0" w:color="auto"/>
        <w:bottom w:val="none" w:sz="0" w:space="0" w:color="auto"/>
        <w:right w:val="none" w:sz="0" w:space="0" w:color="auto"/>
      </w:divBdr>
    </w:div>
    <w:div w:id="2011173402">
      <w:bodyDiv w:val="1"/>
      <w:marLeft w:val="0"/>
      <w:marRight w:val="0"/>
      <w:marTop w:val="0"/>
      <w:marBottom w:val="0"/>
      <w:divBdr>
        <w:top w:val="none" w:sz="0" w:space="0" w:color="auto"/>
        <w:left w:val="none" w:sz="0" w:space="0" w:color="auto"/>
        <w:bottom w:val="none" w:sz="0" w:space="0" w:color="auto"/>
        <w:right w:val="none" w:sz="0" w:space="0" w:color="auto"/>
      </w:divBdr>
    </w:div>
    <w:div w:id="2089425683">
      <w:bodyDiv w:val="1"/>
      <w:marLeft w:val="0"/>
      <w:marRight w:val="0"/>
      <w:marTop w:val="0"/>
      <w:marBottom w:val="0"/>
      <w:divBdr>
        <w:top w:val="none" w:sz="0" w:space="0" w:color="auto"/>
        <w:left w:val="none" w:sz="0" w:space="0" w:color="auto"/>
        <w:bottom w:val="none" w:sz="0" w:space="0" w:color="auto"/>
        <w:right w:val="none" w:sz="0" w:space="0" w:color="auto"/>
      </w:divBdr>
    </w:div>
    <w:div w:id="21193288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985</Words>
  <Characters>5620</Characters>
  <Application>Microsoft Office Word</Application>
  <DocSecurity>0</DocSecurity>
  <Lines>46</Lines>
  <Paragraphs>13</Paragraphs>
  <ScaleCrop>false</ScaleCrop>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Гусев Виталий Евгеньевич</cp:lastModifiedBy>
  <cp:revision>12</cp:revision>
  <dcterms:created xsi:type="dcterms:W3CDTF">2026-03-30T11:50:00Z</dcterms:created>
  <dcterms:modified xsi:type="dcterms:W3CDTF">2026-04-05T05:26:00Z</dcterms:modified>
</cp:coreProperties>
</file>