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9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Кафе “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Паланэз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”</w:t>
      </w:r>
    </w:p>
    <w:p w14:paraId="0A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Буденного, 54а</w:t>
      </w:r>
    </w:p>
    <w:p w14:paraId="0B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Блюда белоруской, польской, литовской и еврейской кухонь. Салаты от 7,5 руб., горячие блюда от 9 руб., десерты от 4,5 руб.</w:t>
      </w:r>
    </w:p>
    <w:p w14:paraId="0C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Средний чек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9 – 12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0D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0E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Кофейня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 xml:space="preserve"> “Джезва”</w:t>
      </w:r>
    </w:p>
    <w:p w14:paraId="0F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Советская, 5</w:t>
      </w:r>
    </w:p>
    <w:p w14:paraId="10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Атмосферная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кофейня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с парящим потолком, вегетарианскими десертами и кофе на песке. В меню  огромный выбор кофе (от 4 руб.), из десертов безглютеновые вафли (от 12 руб.) и круассаны (от 4 руб.).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Средний чек 15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– 25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11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12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Ресторан “Бакст”</w:t>
      </w:r>
    </w:p>
    <w:p w14:paraId="13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Замковая, 21</w:t>
      </w:r>
    </w:p>
    <w:p w14:paraId="14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Блюда европейской кухни. Салаты от 12 руб., горячие блюда от 20 руб., десерты от 8 руб.</w:t>
      </w:r>
    </w:p>
    <w:p w14:paraId="15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Средний чек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20 – 40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16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17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Ресторан "Белосток"</w:t>
      </w:r>
    </w:p>
    <w:p w14:paraId="18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Виленская, 2</w:t>
      </w:r>
    </w:p>
    <w:p w14:paraId="19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Салаты от 15,5 руб., горячие блюда от 17 руб., десерты от 13 руб. Большой выбор традиционных блюд белорусской кухни.</w:t>
      </w:r>
    </w:p>
    <w:p w14:paraId="1A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Средний чек 30 – 50 руб.</w:t>
      </w:r>
    </w:p>
    <w:p w14:paraId="1B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1C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Рестобар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 xml:space="preserve"> “Розмарин”</w:t>
      </w:r>
    </w:p>
    <w:p w14:paraId="1D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Советская, 10</w:t>
      </w:r>
    </w:p>
    <w:p w14:paraId="1E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В меню европейская кухня, салаты от 18 руб., горячие блюда от 24 руб., десерты от 10 руб., есть детское меню от 16 руб. </w:t>
      </w:r>
    </w:p>
    <w:p w14:paraId="1F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Средний чек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25 – 50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20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21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Ресторан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 xml:space="preserve"> “Барашек”</w:t>
      </w:r>
    </w:p>
    <w:p w14:paraId="22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Калючинская, 23</w:t>
      </w:r>
    </w:p>
    <w:p w14:paraId="23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Восточная традиционная кухня, в меню блюда азербайджанской, грузинской, узбекской, турецкой кухонь.  Салаты от 17 руб., горячие блюда от 33 руб., десерты от 12 руб. Есть гриль меню и блюда из печи.</w:t>
      </w:r>
    </w:p>
    <w:p w14:paraId="24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Средний чек 3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5 – 60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25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26000000">
      <w:pPr>
        <w:pStyle w:val="Style_4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Ресторан “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Кронон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1"/>
        </w:rPr>
        <w:t>”</w:t>
      </w:r>
    </w:p>
    <w:p w14:paraId="27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Улица Пышки, 19. Расположен в отеле “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Кронон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Парк Отель”.</w:t>
      </w:r>
    </w:p>
    <w:p w14:paraId="28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В меню популярные классические блюда, а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так же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авторские блюда от шеф-повара. Есть белорусская кухня (от 26 руб.)  Салаты и закуски от 26 руб., горячие блюда от 35 руб., десерты от 16 руб.</w:t>
      </w:r>
    </w:p>
    <w:p w14:paraId="29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Средний чек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>80 – 120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  <w:t xml:space="preserve"> руб.</w:t>
      </w:r>
    </w:p>
    <w:p w14:paraId="2A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p w14:paraId="2B000000">
      <w:pPr>
        <w:pStyle w:val="Style_4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1"/>
        </w:rPr>
      </w:pPr>
    </w:p>
    <w:sectPr>
      <w:headerReference r:id="rId1" w:type="default"/>
      <w:footerReference r:id="rId2" w:type="default"/>
      <w:pgSz w:h="16838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tbl>
    <w:tblPr>
      <w:tblStyle w:val="Style_1"/>
      <w:tblLayout w:type="fixed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type="dxa" w:w="3005"/>
        </w:tcPr>
        <w:p w14:paraId="05000000">
          <w:pPr>
            <w:pStyle w:val="Style_2"/>
            <w:ind w:firstLine="0" w:left="-115"/>
            <w:jc w:val="left"/>
          </w:pPr>
        </w:p>
      </w:tc>
      <w:tc>
        <w:tcPr>
          <w:tcW w:type="dxa" w:w="3005"/>
        </w:tcPr>
        <w:p w14:paraId="06000000">
          <w:pPr>
            <w:pStyle w:val="Style_2"/>
            <w:ind/>
            <w:jc w:val="center"/>
          </w:pPr>
        </w:p>
      </w:tc>
      <w:tc>
        <w:tcPr>
          <w:tcW w:type="dxa" w:w="3005"/>
        </w:tcPr>
        <w:p w14:paraId="07000000">
          <w:pPr>
            <w:pStyle w:val="Style_2"/>
            <w:ind w:right="-115"/>
            <w:jc w:val="right"/>
          </w:pPr>
        </w:p>
      </w:tc>
    </w:tr>
  </w:tbl>
  <w:p w14:paraId="08000000">
    <w:pPr>
      <w:pStyle w:val="Style_3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tbl>
    <w:tblPr>
      <w:tblStyle w:val="Style_1"/>
      <w:tblLayout w:type="fixed"/>
    </w:tblPr>
    <w:tblGrid>
      <w:gridCol w:w="2055"/>
      <w:gridCol w:w="4695"/>
      <w:gridCol w:w="2265"/>
    </w:tblGrid>
    <w:tr>
      <w:trPr>
        <w:trHeight w:hRule="atLeast" w:val="300"/>
      </w:trPr>
      <w:tc>
        <w:tcPr>
          <w:tcW w:type="dxa" w:w="2055"/>
        </w:tcPr>
        <w:p w14:paraId="01000000">
          <w:pPr>
            <w:pStyle w:val="Style_2"/>
            <w:ind w:firstLine="0" w:left="-115"/>
            <w:jc w:val="left"/>
          </w:pPr>
        </w:p>
      </w:tc>
      <w:tc>
        <w:tcPr>
          <w:tcW w:type="dxa" w:w="4695"/>
        </w:tcPr>
        <w:p w14:paraId="02000000">
          <w:pPr>
            <w:pStyle w:val="Style_2"/>
            <w:ind/>
            <w:jc w:val="center"/>
          </w:pPr>
        </w:p>
      </w:tc>
      <w:tc>
        <w:tcPr>
          <w:tcW w:type="dxa" w:w="2265"/>
        </w:tcPr>
        <w:p w14:paraId="03000000">
          <w:pPr>
            <w:pStyle w:val="Style_2"/>
            <w:ind w:right="-115"/>
            <w:jc w:val="right"/>
          </w:pPr>
        </w:p>
      </w:tc>
    </w:tr>
  </w:tbl>
  <w:p w14:paraId="04000000">
    <w:pPr>
      <w:pStyle w:val="Style_2"/>
    </w:pPr>
  </w:p>
</w:hd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</w:pPr>
  </w:style>
  <w:style w:styleId="Style_5_ch" w:type="character">
    <w:name w:val="toc 2"/>
    <w:link w:val="Style_5"/>
  </w:style>
  <w:style w:styleId="Style_6" w:type="paragraph">
    <w:name w:val="toc 4"/>
    <w:next w:val="Style_4"/>
    <w:link w:val="Style_6_ch"/>
    <w:uiPriority w:val="39"/>
    <w:pPr>
      <w:ind w:firstLine="0" w:left="600"/>
    </w:pPr>
  </w:style>
  <w:style w:styleId="Style_6_ch" w:type="character">
    <w:name w:val="toc 4"/>
    <w:link w:val="Style_6"/>
  </w:style>
  <w:style w:styleId="Style_7" w:type="paragraph">
    <w:name w:val="toc 6"/>
    <w:next w:val="Style_4"/>
    <w:link w:val="Style_7_ch"/>
    <w:uiPriority w:val="39"/>
    <w:pPr>
      <w:ind w:firstLine="0" w:left="1000"/>
    </w:pPr>
  </w:style>
  <w:style w:styleId="Style_7_ch" w:type="character">
    <w:name w:val="toc 6"/>
    <w:link w:val="Style_7"/>
  </w:style>
  <w:style w:styleId="Style_8" w:type="paragraph">
    <w:name w:val="toc 7"/>
    <w:next w:val="Style_4"/>
    <w:link w:val="Style_8_ch"/>
    <w:uiPriority w:val="39"/>
    <w:pPr>
      <w:ind w:firstLine="0" w:left="1200"/>
    </w:pPr>
  </w:style>
  <w:style w:styleId="Style_8_ch" w:type="character">
    <w:name w:val="toc 7"/>
    <w:link w:val="Style_8"/>
  </w:style>
  <w:style w:styleId="Style_9" w:type="paragraph">
    <w:name w:val="heading 3"/>
    <w:next w:val="Style_4"/>
    <w:link w:val="Style_9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9_ch" w:type="character">
    <w:name w:val="heading 3"/>
    <w:link w:val="Style_9"/>
    <w:rPr>
      <w:rFonts w:ascii="XO Thames" w:hAnsi="XO Thames"/>
      <w:b w:val="1"/>
      <w:i w:val="1"/>
      <w:color w:val="000000"/>
    </w:rPr>
  </w:style>
  <w:style w:styleId="Style_3" w:type="paragraph">
    <w:name w:val="footer"/>
    <w:basedOn w:val="Style_4"/>
    <w:link w:val="Style_3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3_ch" w:type="character">
    <w:name w:val="footer"/>
    <w:basedOn w:val="Style_4_ch"/>
    <w:link w:val="Style_3"/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toc 3"/>
    <w:next w:val="Style_4"/>
    <w:link w:val="Style_11_ch"/>
    <w:uiPriority w:val="39"/>
    <w:pPr>
      <w:ind w:firstLine="0" w:left="400"/>
    </w:pPr>
  </w:style>
  <w:style w:styleId="Style_11_ch" w:type="character">
    <w:name w:val="toc 3"/>
    <w:link w:val="Style_11"/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2_ch" w:type="character">
    <w:name w:val="heading 5"/>
    <w:link w:val="Style_12"/>
    <w:rPr>
      <w:rFonts w:ascii="XO Thames" w:hAnsi="XO Thames"/>
      <w:b w:val="1"/>
      <w:color w:val="000000"/>
      <w:sz w:val="22"/>
    </w:rPr>
  </w:style>
  <w:style w:styleId="Style_13" w:type="paragraph">
    <w:name w:val="heading 1"/>
    <w:next w:val="Style_4"/>
    <w:link w:val="Style_13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/>
      <w:jc w:val="left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4"/>
    <w:link w:val="Style_16_ch"/>
    <w:uiPriority w:val="39"/>
    <w:pPr>
      <w:ind w:firstLine="0" w:left="0"/>
    </w:pPr>
    <w:rPr>
      <w:rFonts w:ascii="XO Thames" w:hAnsi="XO Thames"/>
      <w:b w:val="1"/>
    </w:rPr>
  </w:style>
  <w:style w:styleId="Style_16_ch" w:type="character">
    <w:name w:val="toc 1"/>
    <w:link w:val="Style_16"/>
    <w:rPr>
      <w:rFonts w:ascii="XO Thames" w:hAnsi="XO Thames"/>
      <w:b w:val="1"/>
    </w:rPr>
  </w:style>
  <w:style w:styleId="Style_17" w:type="paragraph">
    <w:name w:val="Header and Footer"/>
    <w:link w:val="Style_17_ch"/>
    <w:pPr>
      <w:spacing w:line="360" w:lineRule="auto"/>
      <w:ind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</w:pPr>
  </w:style>
  <w:style w:styleId="Style_18_ch" w:type="character">
    <w:name w:val="toc 9"/>
    <w:link w:val="Style_18"/>
  </w:style>
  <w:style w:styleId="Style_2" w:type="paragraph">
    <w:name w:val="header"/>
    <w:basedOn w:val="Style_4"/>
    <w:link w:val="Style_2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2_ch" w:type="character">
    <w:name w:val="header"/>
    <w:basedOn w:val="Style_4_ch"/>
    <w:link w:val="Style_2"/>
  </w:style>
  <w:style w:styleId="Style_19" w:type="paragraph">
    <w:name w:val="toc 8"/>
    <w:next w:val="Style_4"/>
    <w:link w:val="Style_19_ch"/>
    <w:uiPriority w:val="39"/>
    <w:pPr>
      <w:ind w:firstLine="0" w:left="1400"/>
    </w:pPr>
  </w:style>
  <w:style w:styleId="Style_19_ch" w:type="character">
    <w:name w:val="toc 8"/>
    <w:link w:val="Style_19"/>
  </w:style>
  <w:style w:styleId="Style_20" w:type="paragraph">
    <w:name w:val="toc 5"/>
    <w:next w:val="Style_4"/>
    <w:link w:val="Style_20_ch"/>
    <w:uiPriority w:val="39"/>
    <w:pPr>
      <w:ind w:firstLine="0" w:left="800"/>
    </w:pPr>
  </w:style>
  <w:style w:styleId="Style_20_ch" w:type="character">
    <w:name w:val="toc 5"/>
    <w:link w:val="Style_20"/>
  </w:style>
  <w:style w:styleId="Style_21" w:type="paragraph">
    <w:name w:val="Subtitle"/>
    <w:next w:val="Style_4"/>
    <w:link w:val="Style_21_ch"/>
    <w:uiPriority w:val="11"/>
    <w:qFormat/>
    <w:rPr>
      <w:rFonts w:ascii="XO Thames" w:hAnsi="XO Thames"/>
      <w:i w:val="1"/>
      <w:color w:val="616161"/>
      <w:sz w:val="24"/>
    </w:rPr>
  </w:style>
  <w:style w:styleId="Style_21_ch" w:type="character">
    <w:name w:val="Subtitle"/>
    <w:link w:val="Style_21"/>
    <w:rPr>
      <w:rFonts w:ascii="XO Thames" w:hAnsi="XO Thames"/>
      <w:i w:val="1"/>
      <w:color w:val="616161"/>
      <w:sz w:val="24"/>
    </w:rPr>
  </w:style>
  <w:style w:styleId="Style_22" w:type="paragraph">
    <w:name w:val="toc 10"/>
    <w:next w:val="Style_4"/>
    <w:link w:val="Style_22_ch"/>
    <w:uiPriority w:val="39"/>
    <w:pPr>
      <w:ind w:firstLine="0" w:left="1800"/>
    </w:pPr>
  </w:style>
  <w:style w:styleId="Style_22_ch" w:type="character">
    <w:name w:val="toc 10"/>
    <w:link w:val="Style_22"/>
  </w:style>
  <w:style w:styleId="Style_23" w:type="paragraph">
    <w:name w:val="Title"/>
    <w:next w:val="Style_4"/>
    <w:link w:val="Style_23_ch"/>
    <w:uiPriority w:val="10"/>
    <w:qFormat/>
    <w:rPr>
      <w:rFonts w:ascii="XO Thames" w:hAnsi="XO Thames"/>
      <w:b w:val="1"/>
      <w:sz w:val="52"/>
    </w:rPr>
  </w:style>
  <w:style w:styleId="Style_23_ch" w:type="character">
    <w:name w:val="Title"/>
    <w:link w:val="Style_23"/>
    <w:rPr>
      <w:rFonts w:ascii="XO Thames" w:hAnsi="XO Thames"/>
      <w:b w:val="1"/>
      <w:sz w:val="52"/>
    </w:rPr>
  </w:style>
  <w:style w:styleId="Style_24" w:type="paragraph">
    <w:name w:val="heading 4"/>
    <w:next w:val="Style_4"/>
    <w:link w:val="Style_24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4_ch" w:type="character">
    <w:name w:val="heading 4"/>
    <w:link w:val="Style_24"/>
    <w:rPr>
      <w:rFonts w:ascii="XO Thames" w:hAnsi="XO Thames"/>
      <w:b w:val="1"/>
      <w:color w:val="595959"/>
      <w:sz w:val="26"/>
    </w:rPr>
  </w:style>
  <w:style w:styleId="Style_25" w:type="paragraph">
    <w:name w:val="heading 2"/>
    <w:next w:val="Style_4"/>
    <w:link w:val="Style_25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5_ch" w:type="character">
    <w:name w:val="heading 2"/>
    <w:link w:val="Style_25"/>
    <w:rPr>
      <w:rFonts w:ascii="XO Thames" w:hAnsi="XO Thames"/>
      <w:b w:val="1"/>
      <w:color w:val="00A0FF"/>
      <w:sz w:val="26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6" w:type="table">
    <w:name w:val="Table Grid"/>
    <w:basedOn w:val="Style_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2023-01-31T09:20:23Z</dcterms:modified>
</cp:coreProperties>
</file>