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4BA9" w14:textId="77777777" w:rsidR="0000404B" w:rsidRPr="0000404B" w:rsidRDefault="0000404B" w:rsidP="0000404B">
      <w:r w:rsidRPr="0000404B">
        <w:t xml:space="preserve">Część wojskowa Kodeksu karnego (Rozdziały XXXVIII – XLIV </w:t>
      </w:r>
      <w:r w:rsidRPr="0000404B">
        <w:rPr>
          <w:i/>
          <w:iCs/>
        </w:rPr>
        <w:t>Ustawy z dnia 6 czerwca 1997 r. — Kodeks karny</w:t>
      </w:r>
      <w:r w:rsidRPr="0000404B">
        <w:t xml:space="preserve">) reguluje odpowiedzialność karną za czyny zabronione godzące w zasady pełnienia służby wojskowej, dyscyplinę wojskową, zasady podległości służbowej oraz sprawność bojową Sił Zbrojnych RP. Podmiotem większości z tych przestępstw może być wyłącznie </w:t>
      </w:r>
      <w:r w:rsidRPr="0000404B">
        <w:rPr>
          <w:b/>
          <w:bCs/>
        </w:rPr>
        <w:t>żołnierz</w:t>
      </w:r>
      <w:r w:rsidRPr="0000404B">
        <w:t xml:space="preserve"> (w tym żołnierz zawodowy, żołnierz w służbie kandydackiej, terytorialnej czy odbywający ćwiczenia wojskowe).</w:t>
      </w:r>
    </w:p>
    <w:p w14:paraId="52AD767F" w14:textId="77777777" w:rsidR="0000404B" w:rsidRPr="0000404B" w:rsidRDefault="0000404B" w:rsidP="0000404B">
      <w:r w:rsidRPr="0000404B">
        <w:t>Poniżej przedstawiono analizę prawną wybranych, kluczowych przestępstw wojskowych.</w:t>
      </w:r>
    </w:p>
    <w:p w14:paraId="63A7D9C0" w14:textId="77777777" w:rsidR="0000404B" w:rsidRPr="0000404B" w:rsidRDefault="0000404B" w:rsidP="0000404B">
      <w:pPr>
        <w:rPr>
          <w:b/>
          <w:bCs/>
        </w:rPr>
      </w:pPr>
      <w:r w:rsidRPr="0000404B">
        <w:rPr>
          <w:b/>
          <w:bCs/>
        </w:rPr>
        <w:t>A. Odmowa wykonania rozkazu i niesubordynacja (art. 343 KK)</w:t>
      </w:r>
    </w:p>
    <w:p w14:paraId="39597F01" w14:textId="77777777" w:rsidR="0000404B" w:rsidRPr="0000404B" w:rsidRDefault="0000404B" w:rsidP="0000404B">
      <w:r w:rsidRPr="0000404B">
        <w:t>Subordynacja i bezwzględne posłuszeństwo rozkazom stanowią fundament struktury i działania Sił Zbrojnych. Kodeks karny w sposób rygorystyczny penalizuje wszelkie przejawiania nieposłuszeństwa wobec przełożonych.</w:t>
      </w:r>
    </w:p>
    <w:p w14:paraId="396A248D" w14:textId="77777777" w:rsidR="0000404B" w:rsidRPr="0000404B" w:rsidRDefault="0000404B" w:rsidP="0000404B">
      <w:pPr>
        <w:numPr>
          <w:ilvl w:val="0"/>
          <w:numId w:val="1"/>
        </w:numPr>
      </w:pPr>
      <w:r w:rsidRPr="0000404B">
        <w:rPr>
          <w:b/>
          <w:bCs/>
        </w:rPr>
        <w:t>Art. 343 § 1 KK (Odmowa wykonania rozkazu)</w:t>
      </w:r>
      <w:r w:rsidRPr="0000404B">
        <w:t>: Żołnierz, który odmawia wykonania rozkazu albo wykonuje go niezgodnie z jego treścią lub samowolnie, podlega karze pozbawienia wolności do lat 3.</w:t>
      </w:r>
    </w:p>
    <w:p w14:paraId="3809113C" w14:textId="77777777" w:rsidR="0000404B" w:rsidRPr="0000404B" w:rsidRDefault="0000404B" w:rsidP="0000404B">
      <w:pPr>
        <w:numPr>
          <w:ilvl w:val="0"/>
          <w:numId w:val="1"/>
        </w:numPr>
      </w:pPr>
      <w:r w:rsidRPr="0000404B">
        <w:rPr>
          <w:b/>
          <w:bCs/>
        </w:rPr>
        <w:t>Typ kwalifikowany (art. 343 § 2 KK)</w:t>
      </w:r>
      <w:r w:rsidRPr="0000404B">
        <w:t xml:space="preserve">: Jeżeli sprawca dopuszcza się odmowy wykonania rozkazu w obecności zebranych żołnierzy, w sytuacji zagrożenia życia lub zdrowia, bądź w przypadku rozkazu dotyczącego bojowego zadania — podlega karze pozbawienia wolności </w:t>
      </w:r>
      <w:r w:rsidRPr="0000404B">
        <w:rPr>
          <w:b/>
          <w:bCs/>
        </w:rPr>
        <w:t>od roku do lat 10</w:t>
      </w:r>
      <w:r w:rsidRPr="0000404B">
        <w:t>.</w:t>
      </w:r>
    </w:p>
    <w:p w14:paraId="4EE706BC" w14:textId="77777777" w:rsidR="0000404B" w:rsidRPr="0000404B" w:rsidRDefault="0000404B" w:rsidP="0000404B">
      <w:r w:rsidRPr="0000404B">
        <w:rPr>
          <w:i/>
          <w:iCs/>
        </w:rPr>
        <w:t>Warto zaznaczyć, że zgodnie z prawem wojskowym żołnierz nie popełnia przestępstwa, jeżeli odmawia wykonania rozkazu polecającego popełnienie przestępstwa.</w:t>
      </w:r>
    </w:p>
    <w:p w14:paraId="0FFA2F45" w14:textId="77777777" w:rsidR="0000404B" w:rsidRPr="0000404B" w:rsidRDefault="0000404B" w:rsidP="0000404B">
      <w:pPr>
        <w:rPr>
          <w:b/>
          <w:bCs/>
        </w:rPr>
      </w:pPr>
      <w:r w:rsidRPr="0000404B">
        <w:rPr>
          <w:b/>
          <w:bCs/>
        </w:rPr>
        <w:t>B. Samowolne oddalenie i dezercja (art. 338 i art. 339 KK)</w:t>
      </w:r>
    </w:p>
    <w:p w14:paraId="0BF41CCC" w14:textId="77777777" w:rsidR="0000404B" w:rsidRPr="0000404B" w:rsidRDefault="0000404B" w:rsidP="0000404B">
      <w:r w:rsidRPr="0000404B">
        <w:t>Przestępstwa przeciwko obowiązkowi pełnienia służby wojskowej chronią Ciągłość i ciągłą gotowość bojową jednostek wojskowych. Ustawa rozróżnia samowolne opuszczenie jednostki od pełnej dezercji.</w:t>
      </w:r>
    </w:p>
    <w:p w14:paraId="2F017076" w14:textId="77777777" w:rsidR="0000404B" w:rsidRPr="0000404B" w:rsidRDefault="0000404B" w:rsidP="0000404B">
      <w:pPr>
        <w:numPr>
          <w:ilvl w:val="0"/>
          <w:numId w:val="2"/>
        </w:numPr>
      </w:pPr>
      <w:r w:rsidRPr="0000404B">
        <w:rPr>
          <w:b/>
          <w:bCs/>
        </w:rPr>
        <w:t>Samowolne oddalenie (art. 338 KK)</w:t>
      </w:r>
      <w:r w:rsidRPr="0000404B">
        <w:t>:</w:t>
      </w:r>
    </w:p>
    <w:p w14:paraId="65443B1A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>Polega na samowolnym opuszczeniu jednostki wojskowej lub wyznaczonego miejsca przebywania bądź na samowolnym niepowrocie do niego.</w:t>
      </w:r>
    </w:p>
    <w:p w14:paraId="059C454B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 xml:space="preserve">Stanowi przestępstwo, jeżeli samowolny pobyt poza jednostką trwa </w:t>
      </w:r>
      <w:r w:rsidRPr="0000404B">
        <w:rPr>
          <w:b/>
          <w:bCs/>
        </w:rPr>
        <w:t>dłużej niż 48 godzin</w:t>
      </w:r>
      <w:r w:rsidRPr="0000404B">
        <w:t xml:space="preserve"> (krótszy pobyt traktowany jest przeważnie jako przewinienie dyscyplinarne, chyba że zachodzą okoliczności szczególne).</w:t>
      </w:r>
    </w:p>
    <w:p w14:paraId="571AF07D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>Zagrożenie karą: do lat 3 pozbawienia wolności.</w:t>
      </w:r>
    </w:p>
    <w:p w14:paraId="3F88C5A0" w14:textId="77777777" w:rsidR="0000404B" w:rsidRPr="0000404B" w:rsidRDefault="0000404B" w:rsidP="0000404B">
      <w:pPr>
        <w:numPr>
          <w:ilvl w:val="0"/>
          <w:numId w:val="2"/>
        </w:numPr>
      </w:pPr>
      <w:r w:rsidRPr="0000404B">
        <w:rPr>
          <w:b/>
          <w:bCs/>
        </w:rPr>
        <w:t>Dezercja (art. 339 KK)</w:t>
      </w:r>
      <w:r w:rsidRPr="0000404B">
        <w:t>:</w:t>
      </w:r>
    </w:p>
    <w:p w14:paraId="7D125946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 xml:space="preserve">Polega na opuszczeniu jednostki lub niepowrocie do niej </w:t>
      </w:r>
      <w:r w:rsidRPr="0000404B">
        <w:rPr>
          <w:b/>
          <w:bCs/>
        </w:rPr>
        <w:t>w celu trwałego uchylenia się od pełnienia służby wojskowej</w:t>
      </w:r>
      <w:r w:rsidRPr="0000404B">
        <w:t xml:space="preserve"> (zamiar stały), albo na ucieczce za granicę lub niepowrocie z zagranicy.</w:t>
      </w:r>
    </w:p>
    <w:p w14:paraId="43F7BD94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 xml:space="preserve">Typ podstawowy zagrożony jest karą pozbawienia wolności </w:t>
      </w:r>
      <w:r w:rsidRPr="0000404B">
        <w:rPr>
          <w:b/>
          <w:bCs/>
        </w:rPr>
        <w:t>od 3 miesięcy do lat 5</w:t>
      </w:r>
      <w:r w:rsidRPr="0000404B">
        <w:t>.</w:t>
      </w:r>
    </w:p>
    <w:p w14:paraId="1230A704" w14:textId="77777777" w:rsidR="0000404B" w:rsidRPr="0000404B" w:rsidRDefault="0000404B" w:rsidP="0000404B">
      <w:pPr>
        <w:numPr>
          <w:ilvl w:val="1"/>
          <w:numId w:val="2"/>
        </w:numPr>
      </w:pPr>
      <w:r w:rsidRPr="0000404B">
        <w:t xml:space="preserve">Jeżeli dezerter ucieka z bronią, amunicją, wyposażeniem bojowym albo dopuszcza się dezercji w czasie działań zbrojnych lub stanu wojennego — </w:t>
      </w:r>
      <w:r w:rsidRPr="0000404B">
        <w:lastRenderedPageBreak/>
        <w:t xml:space="preserve">podlega karze pozbawienia wolności </w:t>
      </w:r>
      <w:r w:rsidRPr="0000404B">
        <w:rPr>
          <w:b/>
          <w:bCs/>
        </w:rPr>
        <w:t>od lat 1 do 10 (a w czasie wojny nawet do lat 15)</w:t>
      </w:r>
      <w:r w:rsidRPr="0000404B">
        <w:t>.</w:t>
      </w:r>
    </w:p>
    <w:p w14:paraId="6F840C88" w14:textId="77777777" w:rsidR="0000404B" w:rsidRPr="0000404B" w:rsidRDefault="0000404B" w:rsidP="0000404B">
      <w:pPr>
        <w:rPr>
          <w:b/>
          <w:bCs/>
        </w:rPr>
      </w:pPr>
      <w:r w:rsidRPr="0000404B">
        <w:rPr>
          <w:b/>
          <w:bCs/>
        </w:rPr>
        <w:t>C. Naruszenie nietykalności cielesnej lub znieważenie przełożonego / podwładnego (art. 345 i art. 350 KK)</w:t>
      </w:r>
    </w:p>
    <w:p w14:paraId="37E1B392" w14:textId="77777777" w:rsidR="0000404B" w:rsidRPr="0000404B" w:rsidRDefault="0000404B" w:rsidP="0000404B">
      <w:r w:rsidRPr="0000404B">
        <w:t>Prawo wojskowe chroni autorytet przełożonych, ale również godność i nietykalność podwładnych, eliminując nielegalne formy przemocy w strukturach wojskowych.</w:t>
      </w:r>
    </w:p>
    <w:p w14:paraId="68B2ACBF" w14:textId="77777777" w:rsidR="0000404B" w:rsidRPr="0000404B" w:rsidRDefault="0000404B" w:rsidP="0000404B">
      <w:pPr>
        <w:numPr>
          <w:ilvl w:val="0"/>
          <w:numId w:val="3"/>
        </w:numPr>
      </w:pPr>
      <w:r w:rsidRPr="0000404B">
        <w:rPr>
          <w:b/>
          <w:bCs/>
        </w:rPr>
        <w:t>Naruszenie nietykalności przełożonego (art. 345 KK)</w:t>
      </w:r>
      <w:r w:rsidRPr="0000404B">
        <w:t>: Żołnierz, który stosuje przemoc lub groźbę bezprawną wobec przełożonego w związku z pełnieniem przez niego obowiązków służbowych albo go uderza, podlega karze pozbawienia wolności od 3 miesięcy do lat 5.</w:t>
      </w:r>
    </w:p>
    <w:p w14:paraId="299A0AE2" w14:textId="77777777" w:rsidR="0000404B" w:rsidRPr="0000404B" w:rsidRDefault="0000404B" w:rsidP="0000404B">
      <w:pPr>
        <w:numPr>
          <w:ilvl w:val="0"/>
          <w:numId w:val="3"/>
        </w:numPr>
      </w:pPr>
      <w:r w:rsidRPr="0000404B">
        <w:rPr>
          <w:b/>
          <w:bCs/>
        </w:rPr>
        <w:t>Naruszenie praw podwładnego (art. 350 KK)</w:t>
      </w:r>
      <w:r w:rsidRPr="0000404B">
        <w:t>: Przepis ten chroni dyscyplinę przed tzw. "</w:t>
      </w:r>
      <w:proofErr w:type="spellStart"/>
      <w:r w:rsidRPr="0000404B">
        <w:t>falią</w:t>
      </w:r>
      <w:proofErr w:type="spellEnd"/>
      <w:r w:rsidRPr="0000404B">
        <w:t>" lub przekraczaniem uprawnień przez dowódców. Żołnierz, który uderza podwładnego, narusza jego nietykalność cielesną lub z nim się znęca, podlega karze pozbawienia wolności od 3 miesięcy do lat 5 (a w przypadku znęcania się ze szczególnym okrucieństwem — do lat 10).</w:t>
      </w:r>
    </w:p>
    <w:p w14:paraId="15A03E5F" w14:textId="77777777" w:rsidR="0000404B" w:rsidRPr="0000404B" w:rsidRDefault="0000404B" w:rsidP="0000404B">
      <w:pPr>
        <w:rPr>
          <w:b/>
          <w:bCs/>
        </w:rPr>
      </w:pPr>
      <w:r w:rsidRPr="0000404B">
        <w:rPr>
          <w:b/>
          <w:bCs/>
        </w:rPr>
        <w:t>D. Ostrożność przy obchodzeniu się z bronią i sprzętem bojowym (art. 354 i art. 355 KK)</w:t>
      </w:r>
    </w:p>
    <w:p w14:paraId="3F8573D1" w14:textId="77777777" w:rsidR="0000404B" w:rsidRPr="0000404B" w:rsidRDefault="0000404B" w:rsidP="0000404B">
      <w:r w:rsidRPr="0000404B">
        <w:t>Służba wojskowa wiąże się ze stałym kontaktem ze środkami rażenia i sprzętem wysokiego ryzyka. Niezachowanie ostrożności podlega surowej odpowiedzialności karnej.</w:t>
      </w:r>
    </w:p>
    <w:p w14:paraId="7DB8E054" w14:textId="77777777" w:rsidR="0000404B" w:rsidRPr="0000404B" w:rsidRDefault="0000404B" w:rsidP="0000404B">
      <w:pPr>
        <w:numPr>
          <w:ilvl w:val="0"/>
          <w:numId w:val="4"/>
        </w:numPr>
      </w:pPr>
      <w:r w:rsidRPr="0000404B">
        <w:rPr>
          <w:b/>
          <w:bCs/>
        </w:rPr>
        <w:t>Nieostrożne obchodzenie się z bronią (art. 354 KK)</w:t>
      </w:r>
      <w:r w:rsidRPr="0000404B">
        <w:t>: Kto nieostrożnie obchodzi się z bronią palną, amunicją, materiałem wybuchowym lub innym sprzętem bojowym i przez to nieumyślnie sprowadza bezpośrednie niebezpieczeństwo dla życia lub zdrowia ludzi albo mienia znacznej wartości, podlega karze pozbawienia wolności do lat 3.</w:t>
      </w:r>
    </w:p>
    <w:p w14:paraId="3882FAB1" w14:textId="77777777" w:rsidR="0000404B" w:rsidRPr="0000404B" w:rsidRDefault="0000404B" w:rsidP="0000404B">
      <w:pPr>
        <w:numPr>
          <w:ilvl w:val="0"/>
          <w:numId w:val="4"/>
        </w:numPr>
      </w:pPr>
      <w:r w:rsidRPr="0000404B">
        <w:rPr>
          <w:b/>
          <w:bCs/>
        </w:rPr>
        <w:t>Spowodowanie wypadku lub uszczerbku (art. 355 KK)</w:t>
      </w:r>
      <w:r w:rsidRPr="0000404B">
        <w:t xml:space="preserve">: Jeżeli następstwem nieostrożnego obchodzenia się z bronią lub sprzętem bojowym jest ciężki uszczerbek na zdrowiu lub śmierć człowieka, sprawca podlega karze pozbawienia wolności </w:t>
      </w:r>
      <w:r w:rsidRPr="0000404B">
        <w:rPr>
          <w:b/>
          <w:bCs/>
        </w:rPr>
        <w:t>od roku do lat 10</w:t>
      </w:r>
      <w:r w:rsidRPr="0000404B">
        <w:t>.</w:t>
      </w:r>
    </w:p>
    <w:p w14:paraId="7F383DF2" w14:textId="77777777" w:rsidR="0034046C" w:rsidRDefault="0034046C"/>
    <w:sectPr w:rsidR="00340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D02"/>
    <w:multiLevelType w:val="multilevel"/>
    <w:tmpl w:val="141A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D1CFC"/>
    <w:multiLevelType w:val="multilevel"/>
    <w:tmpl w:val="343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A6100"/>
    <w:multiLevelType w:val="multilevel"/>
    <w:tmpl w:val="1A6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861FF"/>
    <w:multiLevelType w:val="multilevel"/>
    <w:tmpl w:val="94A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75674">
    <w:abstractNumId w:val="2"/>
  </w:num>
  <w:num w:numId="2" w16cid:durableId="1573277467">
    <w:abstractNumId w:val="0"/>
  </w:num>
  <w:num w:numId="3" w16cid:durableId="520169234">
    <w:abstractNumId w:val="3"/>
  </w:num>
  <w:num w:numId="4" w16cid:durableId="78481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F1"/>
    <w:rsid w:val="0000404B"/>
    <w:rsid w:val="0034046C"/>
    <w:rsid w:val="005A28AD"/>
    <w:rsid w:val="006E1941"/>
    <w:rsid w:val="008034A1"/>
    <w:rsid w:val="008C495F"/>
    <w:rsid w:val="00AD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D098"/>
  <w15:chartTrackingRefBased/>
  <w15:docId w15:val="{B9F4A70D-D064-4256-AC73-E19A263E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3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3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3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3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3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37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37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37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37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37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37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37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37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37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3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37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3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Modzelewski</dc:creator>
  <cp:keywords/>
  <dc:description/>
  <cp:lastModifiedBy>Piotr Modzelewski</cp:lastModifiedBy>
  <cp:revision>2</cp:revision>
  <dcterms:created xsi:type="dcterms:W3CDTF">2026-10-14T07:45:00Z</dcterms:created>
  <dcterms:modified xsi:type="dcterms:W3CDTF">2026-10-14T07:46:00Z</dcterms:modified>
</cp:coreProperties>
</file>