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9E0" w:rsidRDefault="00943FA3">
      <w:pPr>
        <w:spacing w:after="0"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Nome completo:</w:t>
      </w:r>
      <w:r w:rsidR="00E31EF8">
        <w:rPr>
          <w:b/>
          <w:sz w:val="24"/>
          <w:szCs w:val="24"/>
        </w:rPr>
        <w:t xml:space="preserve"> </w:t>
      </w:r>
      <w:r w:rsidR="007A50B7">
        <w:rPr>
          <w:b/>
          <w:sz w:val="24"/>
          <w:szCs w:val="24"/>
        </w:rPr>
        <w:t xml:space="preserve">Vitor </w:t>
      </w:r>
      <w:r w:rsidR="00101E95">
        <w:rPr>
          <w:b/>
          <w:sz w:val="24"/>
          <w:szCs w:val="24"/>
        </w:rPr>
        <w:t xml:space="preserve">Matheus Cruz </w:t>
      </w:r>
      <w:r w:rsidR="007A50B7">
        <w:rPr>
          <w:b/>
          <w:sz w:val="24"/>
          <w:szCs w:val="24"/>
        </w:rPr>
        <w:t>Araú</w:t>
      </w:r>
      <w:bookmarkStart w:id="0" w:name="_GoBack"/>
      <w:bookmarkEnd w:id="0"/>
      <w:r w:rsidR="007A50B7">
        <w:rPr>
          <w:b/>
          <w:sz w:val="24"/>
          <w:szCs w:val="24"/>
        </w:rPr>
        <w:t>jo</w:t>
      </w:r>
    </w:p>
    <w:p w:rsidR="000369E0" w:rsidRDefault="000369E0">
      <w:pPr>
        <w:spacing w:after="0" w:line="240" w:lineRule="auto"/>
        <w:ind w:left="0" w:hanging="2"/>
        <w:rPr>
          <w:sz w:val="24"/>
          <w:szCs w:val="24"/>
        </w:rPr>
      </w:pPr>
    </w:p>
    <w:p w:rsidR="000369E0" w:rsidRDefault="000369E0">
      <w:pPr>
        <w:spacing w:after="0" w:line="240" w:lineRule="auto"/>
        <w:ind w:left="0" w:hanging="2"/>
      </w:pPr>
    </w:p>
    <w:p w:rsidR="000369E0" w:rsidRDefault="00943FA3">
      <w:pPr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Exercícios de revisão: Normas da ABNT para citações e referências </w:t>
      </w:r>
    </w:p>
    <w:p w:rsidR="000369E0" w:rsidRDefault="000369E0">
      <w:pPr>
        <w:ind w:left="0" w:hanging="2"/>
        <w:jc w:val="center"/>
        <w:rPr>
          <w:sz w:val="24"/>
          <w:szCs w:val="24"/>
        </w:rPr>
      </w:pPr>
    </w:p>
    <w:p w:rsidR="000369E0" w:rsidRDefault="00943F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</w:rPr>
      </w:pPr>
      <w:r>
        <w:rPr>
          <w:b/>
          <w:color w:val="000000"/>
        </w:rPr>
        <w:t>Elabore as referências para os dados a seguir:</w:t>
      </w:r>
    </w:p>
    <w:p w:rsidR="000369E0" w:rsidRDefault="000369E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</w:rPr>
      </w:pPr>
    </w:p>
    <w:p w:rsidR="000369E0" w:rsidRDefault="00943FA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Livro publicado em 1995 pela editora Ícone de São Paulo: O Positivismo Jurídico: Lições de Filosofia do Direito, de autoria de Norberto Bobbio.</w:t>
      </w:r>
    </w:p>
    <w:p w:rsidR="00E31EF8" w:rsidRDefault="00E31EF8" w:rsidP="00E3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color w:val="000000"/>
        </w:rPr>
      </w:pPr>
    </w:p>
    <w:p w:rsidR="00E31EF8" w:rsidRDefault="00E31EF8" w:rsidP="00E3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720" w:firstLineChars="0" w:firstLine="0"/>
        <w:rPr>
          <w:color w:val="000000"/>
        </w:rPr>
      </w:pPr>
      <w:r>
        <w:t>BOBBIO, Norberto. O Positivismo Jurídico: Lições de Filosofia do Direito, São Paulo. Editora Ícone, 1995.</w:t>
      </w:r>
    </w:p>
    <w:p w:rsidR="000369E0" w:rsidRDefault="000369E0">
      <w:pPr>
        <w:spacing w:after="0" w:line="240" w:lineRule="auto"/>
        <w:ind w:left="0" w:hanging="2"/>
      </w:pPr>
    </w:p>
    <w:p w:rsidR="000369E0" w:rsidRDefault="000369E0">
      <w:pPr>
        <w:spacing w:after="0" w:line="240" w:lineRule="auto"/>
        <w:ind w:left="0" w:hanging="2"/>
      </w:pPr>
    </w:p>
    <w:p w:rsidR="000369E0" w:rsidRDefault="00943FA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“Da indigência à exclusão, a desfiliação - precariedade do trabalho e vulnerabilidade relacional” é um trabalho de Robert </w:t>
      </w:r>
      <w:proofErr w:type="spellStart"/>
      <w:r>
        <w:rPr>
          <w:color w:val="000000"/>
        </w:rPr>
        <w:t>Castel</w:t>
      </w:r>
      <w:proofErr w:type="spellEnd"/>
      <w:r>
        <w:rPr>
          <w:color w:val="000000"/>
        </w:rPr>
        <w:t xml:space="preserve"> que se tornou </w:t>
      </w:r>
      <w:r>
        <w:rPr>
          <w:b/>
          <w:color w:val="000000"/>
        </w:rPr>
        <w:t xml:space="preserve">capítulo </w:t>
      </w:r>
      <w:r>
        <w:rPr>
          <w:color w:val="000000"/>
        </w:rPr>
        <w:t xml:space="preserve">do livro </w:t>
      </w:r>
      <w:r>
        <w:rPr>
          <w:i/>
          <w:color w:val="000000"/>
        </w:rPr>
        <w:t>Saúde e loucura 4</w:t>
      </w:r>
      <w:r>
        <w:rPr>
          <w:color w:val="000000"/>
        </w:rPr>
        <w:t xml:space="preserve">, organizado por </w:t>
      </w:r>
      <w:proofErr w:type="spellStart"/>
      <w:r>
        <w:rPr>
          <w:color w:val="000000"/>
        </w:rPr>
        <w:t>Antonio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Lancetti</w:t>
      </w:r>
      <w:proofErr w:type="spellEnd"/>
      <w:r>
        <w:rPr>
          <w:color w:val="000000"/>
        </w:rPr>
        <w:t xml:space="preserve"> em 1994.</w:t>
      </w:r>
    </w:p>
    <w:p w:rsidR="00E31EF8" w:rsidRDefault="00E31EF8" w:rsidP="00E3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  <w:rPr>
          <w:color w:val="000000"/>
        </w:rPr>
      </w:pPr>
    </w:p>
    <w:p w:rsidR="00E31EF8" w:rsidRPr="00E31EF8" w:rsidRDefault="00E31EF8" w:rsidP="00E3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720" w:firstLineChars="0" w:firstLine="0"/>
        <w:jc w:val="both"/>
        <w:rPr>
          <w:color w:val="000000"/>
        </w:rPr>
      </w:pPr>
      <w:r w:rsidRPr="00E31EF8">
        <w:rPr>
          <w:color w:val="000000"/>
        </w:rPr>
        <w:t>CASTEL, Robert. Da indigência à exclusão, a desfiliação - precariedade do trabalho e</w:t>
      </w:r>
    </w:p>
    <w:p w:rsidR="00E31EF8" w:rsidRDefault="00E31EF8" w:rsidP="00E3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720" w:firstLineChars="0" w:firstLine="0"/>
        <w:jc w:val="both"/>
        <w:rPr>
          <w:color w:val="000000"/>
        </w:rPr>
      </w:pPr>
      <w:proofErr w:type="gramStart"/>
      <w:r w:rsidRPr="00E31EF8">
        <w:rPr>
          <w:color w:val="000000"/>
        </w:rPr>
        <w:t>vulnerabilidade</w:t>
      </w:r>
      <w:proofErr w:type="gramEnd"/>
      <w:r w:rsidRPr="00E31EF8">
        <w:rPr>
          <w:color w:val="000000"/>
        </w:rPr>
        <w:t xml:space="preserve"> relacional. In: LANCETTI, </w:t>
      </w:r>
      <w:proofErr w:type="spellStart"/>
      <w:r w:rsidRPr="00E31EF8">
        <w:rPr>
          <w:color w:val="000000"/>
        </w:rPr>
        <w:t>Antonio</w:t>
      </w:r>
      <w:proofErr w:type="spellEnd"/>
      <w:r w:rsidRPr="00E31EF8">
        <w:rPr>
          <w:color w:val="000000"/>
        </w:rPr>
        <w:t>. Saúde e loucura 4, 1994.</w:t>
      </w:r>
    </w:p>
    <w:p w:rsidR="000369E0" w:rsidRDefault="00036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</w:p>
    <w:p w:rsidR="000369E0" w:rsidRDefault="000369E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</w:rPr>
      </w:pPr>
    </w:p>
    <w:p w:rsidR="000369E0" w:rsidRDefault="00943FA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</w:rPr>
      </w:pPr>
      <w:r>
        <w:rPr>
          <w:color w:val="000000"/>
        </w:rPr>
        <w:t xml:space="preserve">Em 2001, a autora Regina Helena SIMÕES BARBOSA defendeu sua tese de doutorado pela Escola Nacional de Saúde Pública da Fundação Oswaldo Cruz, do Rio de Janeiro com o título Mulheres, reprodução e aids: as tramas da ideologia na assistência à saúde de gestantes </w:t>
      </w:r>
      <w:proofErr w:type="spellStart"/>
      <w:r>
        <w:rPr>
          <w:color w:val="000000"/>
        </w:rPr>
        <w:t>Hiv</w:t>
      </w:r>
      <w:proofErr w:type="spellEnd"/>
      <w:r>
        <w:rPr>
          <w:color w:val="000000"/>
        </w:rPr>
        <w:t>-positivas. 2001. Não foi indicado o número de folhas.</w:t>
      </w:r>
    </w:p>
    <w:p w:rsidR="00E31EF8" w:rsidRDefault="00E31EF8" w:rsidP="00E31EF8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360" w:firstLineChars="0" w:firstLine="0"/>
        <w:jc w:val="both"/>
        <w:rPr>
          <w:color w:val="000000"/>
        </w:rPr>
      </w:pPr>
    </w:p>
    <w:p w:rsidR="00E31EF8" w:rsidRPr="00E31EF8" w:rsidRDefault="00E31EF8" w:rsidP="00E31EF8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720" w:firstLineChars="0" w:firstLine="0"/>
        <w:jc w:val="both"/>
        <w:rPr>
          <w:color w:val="000000"/>
        </w:rPr>
      </w:pPr>
      <w:r w:rsidRPr="00E31EF8">
        <w:rPr>
          <w:color w:val="000000"/>
        </w:rPr>
        <w:t>BARBOSA, Regina Helena. Mulheres, reprodução e aids: as tramas da ideologia na assistência</w:t>
      </w:r>
    </w:p>
    <w:p w:rsidR="00E31EF8" w:rsidRPr="00E31EF8" w:rsidRDefault="00E31EF8" w:rsidP="00E31EF8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720" w:firstLineChars="0" w:firstLine="0"/>
        <w:jc w:val="both"/>
        <w:rPr>
          <w:color w:val="000000"/>
        </w:rPr>
      </w:pPr>
      <w:proofErr w:type="gramStart"/>
      <w:r w:rsidRPr="00E31EF8">
        <w:rPr>
          <w:color w:val="000000"/>
        </w:rPr>
        <w:t>à</w:t>
      </w:r>
      <w:proofErr w:type="gramEnd"/>
      <w:r w:rsidRPr="00E31EF8">
        <w:rPr>
          <w:color w:val="000000"/>
        </w:rPr>
        <w:t xml:space="preserve"> saúde de gestantes </w:t>
      </w:r>
      <w:proofErr w:type="spellStart"/>
      <w:r w:rsidRPr="00E31EF8">
        <w:rPr>
          <w:color w:val="000000"/>
        </w:rPr>
        <w:t>Hiv</w:t>
      </w:r>
      <w:proofErr w:type="spellEnd"/>
      <w:r w:rsidRPr="00E31EF8">
        <w:rPr>
          <w:color w:val="000000"/>
        </w:rPr>
        <w:t>-positivas. Tese - Escola Nacional de Saúde Pública da Fundação</w:t>
      </w:r>
    </w:p>
    <w:p w:rsidR="00E31EF8" w:rsidRDefault="00E31EF8" w:rsidP="00E31EF8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720" w:firstLineChars="0" w:firstLine="0"/>
        <w:jc w:val="both"/>
        <w:rPr>
          <w:color w:val="000000"/>
        </w:rPr>
      </w:pPr>
      <w:r w:rsidRPr="00E31EF8">
        <w:rPr>
          <w:color w:val="000000"/>
        </w:rPr>
        <w:t>Oswaldo Cruz. Rio de Janeiro, 2001.</w:t>
      </w:r>
    </w:p>
    <w:p w:rsidR="000369E0" w:rsidRDefault="000369E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</w:rPr>
      </w:pPr>
    </w:p>
    <w:p w:rsidR="000369E0" w:rsidRDefault="000369E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</w:rPr>
      </w:pPr>
    </w:p>
    <w:p w:rsidR="000369E0" w:rsidRDefault="000369E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FF0000"/>
        </w:rPr>
      </w:pPr>
    </w:p>
    <w:p w:rsidR="000369E0" w:rsidRDefault="00943F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</w:rPr>
      </w:pPr>
      <w:r>
        <w:rPr>
          <w:b/>
          <w:color w:val="000000"/>
        </w:rPr>
        <w:t>Analise a referência abaixo e responda a seguir:</w:t>
      </w:r>
    </w:p>
    <w:p w:rsidR="000369E0" w:rsidRDefault="000369E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</w:rPr>
      </w:pPr>
    </w:p>
    <w:p w:rsidR="000369E0" w:rsidRDefault="00943FA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 xml:space="preserve">GOMES, </w:t>
      </w:r>
      <w:proofErr w:type="spellStart"/>
      <w:r>
        <w:rPr>
          <w:color w:val="000000"/>
        </w:rPr>
        <w:t>Rolfi</w:t>
      </w:r>
      <w:proofErr w:type="spellEnd"/>
      <w:r>
        <w:rPr>
          <w:color w:val="000000"/>
        </w:rPr>
        <w:t xml:space="preserve"> Cintas </w:t>
      </w:r>
      <w:r>
        <w:rPr>
          <w:i/>
          <w:color w:val="000000"/>
        </w:rPr>
        <w:t>et al</w:t>
      </w:r>
      <w:r>
        <w:rPr>
          <w:color w:val="000000"/>
        </w:rPr>
        <w:t xml:space="preserve">. Teorias de aprendizagem: </w:t>
      </w:r>
      <w:proofErr w:type="spellStart"/>
      <w:r>
        <w:rPr>
          <w:color w:val="000000"/>
        </w:rPr>
        <w:t>pré-concepções</w:t>
      </w:r>
      <w:proofErr w:type="spellEnd"/>
      <w:r>
        <w:rPr>
          <w:color w:val="000000"/>
        </w:rPr>
        <w:t xml:space="preserve"> de alunos da área de exatas do ensino superior privado da cidade de São Paulo.</w:t>
      </w:r>
      <w:r>
        <w:rPr>
          <w:b/>
          <w:color w:val="000000"/>
        </w:rPr>
        <w:t xml:space="preserve"> Ciência e educação,</w:t>
      </w:r>
      <w:r>
        <w:rPr>
          <w:color w:val="000000"/>
        </w:rPr>
        <w:t> Bauru, v. 16, n. 3, 2010. Disponível em: &lt;http://www.scielo.br/scielo.php?script=sci_arttext&amp;pid=S1516-73132010000300013&amp;lng=en&amp;nrm=iso&gt;. Acesso em:  15 abr. 2021.</w:t>
      </w:r>
    </w:p>
    <w:p w:rsidR="000369E0" w:rsidRDefault="00943F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lastRenderedPageBreak/>
        <w:t xml:space="preserve">&gt;&gt; A respeito da referência acima, analise as sentenças, considerando V para verdadeira e F para falsa. A seguir, identifique o problema em caso de haver </w:t>
      </w:r>
      <w:proofErr w:type="gramStart"/>
      <w:r>
        <w:rPr>
          <w:b/>
          <w:color w:val="000000"/>
        </w:rPr>
        <w:t>resposta(</w:t>
      </w:r>
      <w:proofErr w:type="gramEnd"/>
      <w:r>
        <w:rPr>
          <w:b/>
          <w:color w:val="000000"/>
        </w:rPr>
        <w:t>s) incorreta(s):</w:t>
      </w:r>
    </w:p>
    <w:p w:rsidR="000369E0" w:rsidRDefault="00036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</w:p>
    <w:p w:rsidR="000369E0" w:rsidRDefault="00943F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(</w:t>
      </w:r>
      <w:r w:rsidR="00E31EF8">
        <w:rPr>
          <w:color w:val="000000"/>
        </w:rPr>
        <w:t>V</w:t>
      </w:r>
      <w:r>
        <w:rPr>
          <w:color w:val="000000"/>
        </w:rPr>
        <w:t xml:space="preserve">) </w:t>
      </w:r>
      <w:r>
        <w:rPr>
          <w:color w:val="000000"/>
          <w:u w:val="single"/>
        </w:rPr>
        <w:t>Sentença 01</w:t>
      </w:r>
      <w:r>
        <w:rPr>
          <w:color w:val="000000"/>
        </w:rPr>
        <w:t xml:space="preserve">: A referência refere-se a um capítulo de livro publicado em meio eletrônico. </w:t>
      </w:r>
    </w:p>
    <w:p w:rsidR="000369E0" w:rsidRDefault="00E3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(F</w:t>
      </w:r>
      <w:r w:rsidR="00943FA3">
        <w:rPr>
          <w:color w:val="000000"/>
        </w:rPr>
        <w:t xml:space="preserve">) </w:t>
      </w:r>
      <w:r w:rsidR="00943FA3">
        <w:rPr>
          <w:color w:val="000000"/>
          <w:u w:val="single"/>
        </w:rPr>
        <w:t>Sentença 02:</w:t>
      </w:r>
      <w:r w:rsidR="00943FA3">
        <w:rPr>
          <w:color w:val="000000"/>
        </w:rPr>
        <w:t xml:space="preserve">  Ciência e Educação é o nome da revista eletrônica, onde o artigo foi publicado. </w:t>
      </w:r>
    </w:p>
    <w:p w:rsidR="00E31EF8" w:rsidRDefault="00E3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Ciência e educação é o nome da categoria.</w:t>
      </w:r>
    </w:p>
    <w:p w:rsidR="000369E0" w:rsidRDefault="00E3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(F</w:t>
      </w:r>
      <w:r w:rsidR="00943FA3">
        <w:rPr>
          <w:color w:val="000000"/>
        </w:rPr>
        <w:t xml:space="preserve">) </w:t>
      </w:r>
      <w:r w:rsidR="00943FA3">
        <w:rPr>
          <w:color w:val="000000"/>
          <w:u w:val="single"/>
        </w:rPr>
        <w:t xml:space="preserve">Sentença 03: </w:t>
      </w:r>
      <w:proofErr w:type="gramStart"/>
      <w:r w:rsidR="00943FA3">
        <w:rPr>
          <w:color w:val="000000"/>
        </w:rPr>
        <w:t xml:space="preserve"> Está</w:t>
      </w:r>
      <w:proofErr w:type="gramEnd"/>
      <w:r w:rsidR="00943FA3">
        <w:rPr>
          <w:color w:val="000000"/>
        </w:rPr>
        <w:t xml:space="preserve"> totalmente de acordo com a NBR 6023/2018 e não requer qualquer correção. </w:t>
      </w:r>
    </w:p>
    <w:p w:rsidR="00E31EF8" w:rsidRDefault="00E3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Necessita algumas correções.</w:t>
      </w:r>
    </w:p>
    <w:p w:rsidR="000369E0" w:rsidRDefault="00036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</w:p>
    <w:p w:rsidR="000369E0" w:rsidRDefault="00036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</w:p>
    <w:p w:rsidR="000369E0" w:rsidRDefault="000369E0" w:rsidP="00E3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  <w:rPr>
          <w:color w:val="000000"/>
        </w:rPr>
      </w:pPr>
    </w:p>
    <w:p w:rsidR="000369E0" w:rsidRDefault="00943F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Analise a referência e responda a seguir:</w:t>
      </w:r>
    </w:p>
    <w:p w:rsidR="000369E0" w:rsidRDefault="00036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:rsidR="000369E0" w:rsidRDefault="00943FA3">
      <w:pPr>
        <w:spacing w:after="0" w:line="240" w:lineRule="auto"/>
        <w:ind w:left="0" w:hanging="2"/>
      </w:pPr>
      <w:r>
        <w:t xml:space="preserve">VALENTE, J. A. Formação de Profissionais na Área de Informática em Educação. </w:t>
      </w:r>
      <w:r>
        <w:rPr>
          <w:i/>
        </w:rPr>
        <w:t>In</w:t>
      </w:r>
      <w:r>
        <w:t xml:space="preserve">: VALENTE, J. A. (org.), </w:t>
      </w:r>
      <w:r>
        <w:rPr>
          <w:i/>
        </w:rPr>
        <w:t xml:space="preserve">Computadores e Conhecimento: </w:t>
      </w:r>
      <w:r>
        <w:t>Repensando a Educação. Campinas: NIED; Unicamp, 1993. p. 114-134.</w:t>
      </w:r>
    </w:p>
    <w:p w:rsidR="000369E0" w:rsidRDefault="00036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</w:p>
    <w:p w:rsidR="000369E0" w:rsidRDefault="00943F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A respeito da referência acima são feitas as seguintes afirmações:</w:t>
      </w:r>
    </w:p>
    <w:p w:rsidR="000369E0" w:rsidRDefault="00036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</w:p>
    <w:p w:rsidR="000369E0" w:rsidRDefault="00943F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i/>
          <w:color w:val="000000"/>
        </w:rPr>
        <w:t>Formação de Profissionais na Área de Informática em Educação</w:t>
      </w:r>
      <w:r>
        <w:rPr>
          <w:color w:val="000000"/>
        </w:rPr>
        <w:t xml:space="preserve"> é o livro escrito e editado por J. Valente. </w:t>
      </w:r>
    </w:p>
    <w:p w:rsidR="000369E0" w:rsidRDefault="00943F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Apenas J. A. Valente escreveu o livro</w:t>
      </w:r>
      <w:r>
        <w:rPr>
          <w:i/>
          <w:color w:val="000000"/>
        </w:rPr>
        <w:t xml:space="preserve"> Computadores e Conhecimento: </w:t>
      </w:r>
      <w:r>
        <w:rPr>
          <w:color w:val="000000"/>
        </w:rPr>
        <w:t xml:space="preserve">Repensando a Educação </w:t>
      </w:r>
    </w:p>
    <w:p w:rsidR="000369E0" w:rsidRDefault="00943F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Formação de Profissionais na Área de Informática em Educação refere-se a um capítulo do livro. </w:t>
      </w:r>
    </w:p>
    <w:p w:rsidR="000369E0" w:rsidRDefault="00943F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Computadores e Conhecimento: Repensando a Educação refere-se a um capítulo de livro. </w:t>
      </w:r>
    </w:p>
    <w:p w:rsidR="000369E0" w:rsidRDefault="00036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</w:p>
    <w:p w:rsidR="000369E0" w:rsidRDefault="00943F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Está correto o que se </w:t>
      </w:r>
      <w:proofErr w:type="spellStart"/>
      <w:r>
        <w:rPr>
          <w:b/>
          <w:color w:val="000000"/>
        </w:rPr>
        <w:t>afirma</w:t>
      </w:r>
      <w:proofErr w:type="spellEnd"/>
      <w:r>
        <w:rPr>
          <w:b/>
          <w:color w:val="000000"/>
        </w:rPr>
        <w:t xml:space="preserve"> em:</w:t>
      </w:r>
      <w:r w:rsidR="00E31EF8">
        <w:rPr>
          <w:b/>
          <w:color w:val="000000"/>
        </w:rPr>
        <w:t xml:space="preserve"> Letra D</w:t>
      </w:r>
    </w:p>
    <w:tbl>
      <w:tblPr>
        <w:tblStyle w:val="a"/>
        <w:tblW w:w="928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0"/>
        <w:gridCol w:w="8854"/>
      </w:tblGrid>
      <w:tr w:rsidR="000369E0">
        <w:tc>
          <w:tcPr>
            <w:tcW w:w="430" w:type="dxa"/>
          </w:tcPr>
          <w:p w:rsidR="000369E0" w:rsidRDefault="000369E0">
            <w:pPr>
              <w:spacing w:after="0" w:line="240" w:lineRule="auto"/>
              <w:ind w:left="0" w:hanging="2"/>
              <w:jc w:val="center"/>
            </w:pPr>
          </w:p>
        </w:tc>
        <w:tc>
          <w:tcPr>
            <w:tcW w:w="8854" w:type="dxa"/>
          </w:tcPr>
          <w:p w:rsidR="000369E0" w:rsidRDefault="00943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7009" w:hanging="2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(a)</w:t>
            </w:r>
            <w:r>
              <w:rPr>
                <w:color w:val="000000"/>
              </w:rPr>
              <w:tab/>
              <w:t>Apenas</w:t>
            </w:r>
            <w:proofErr w:type="gramEnd"/>
            <w:r>
              <w:rPr>
                <w:color w:val="000000"/>
              </w:rPr>
              <w:t xml:space="preserve"> I e II.</w:t>
            </w:r>
          </w:p>
          <w:p w:rsidR="000369E0" w:rsidRDefault="00943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(b)</w:t>
            </w:r>
            <w:r>
              <w:rPr>
                <w:color w:val="000000"/>
              </w:rPr>
              <w:tab/>
              <w:t>Apenas</w:t>
            </w:r>
            <w:proofErr w:type="gramEnd"/>
            <w:r>
              <w:rPr>
                <w:color w:val="000000"/>
              </w:rPr>
              <w:t xml:space="preserve"> II e IV.</w:t>
            </w:r>
          </w:p>
          <w:p w:rsidR="000369E0" w:rsidRDefault="00943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(c)</w:t>
            </w:r>
            <w:r>
              <w:rPr>
                <w:color w:val="000000"/>
              </w:rPr>
              <w:tab/>
              <w:t>Apenas</w:t>
            </w:r>
            <w:proofErr w:type="gramEnd"/>
            <w:r>
              <w:rPr>
                <w:color w:val="000000"/>
              </w:rPr>
              <w:t xml:space="preserve"> I, II e IV.</w:t>
            </w:r>
            <w:r>
              <w:rPr>
                <w:color w:val="000000"/>
              </w:rPr>
              <w:tab/>
            </w:r>
          </w:p>
          <w:p w:rsidR="000369E0" w:rsidRPr="00E31EF8" w:rsidRDefault="00943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b/>
                <w:color w:val="00B050"/>
              </w:rPr>
            </w:pPr>
            <w:proofErr w:type="gramStart"/>
            <w:r w:rsidRPr="00E31EF8">
              <w:rPr>
                <w:b/>
                <w:color w:val="00B050"/>
              </w:rPr>
              <w:t>(d)</w:t>
            </w:r>
            <w:r w:rsidRPr="00E31EF8">
              <w:rPr>
                <w:b/>
                <w:color w:val="00B050"/>
              </w:rPr>
              <w:tab/>
              <w:t>Apenas</w:t>
            </w:r>
            <w:proofErr w:type="gramEnd"/>
            <w:r w:rsidRPr="00E31EF8">
              <w:rPr>
                <w:b/>
                <w:color w:val="00B050"/>
              </w:rPr>
              <w:t xml:space="preserve"> III.</w:t>
            </w:r>
            <w:r w:rsidRPr="00E31EF8">
              <w:rPr>
                <w:b/>
                <w:color w:val="00B050"/>
              </w:rPr>
              <w:tab/>
            </w:r>
          </w:p>
          <w:p w:rsidR="000369E0" w:rsidRDefault="00943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(e)</w:t>
            </w:r>
            <w:r>
              <w:rPr>
                <w:color w:val="000000"/>
              </w:rPr>
              <w:tab/>
              <w:t>Apenas I.</w:t>
            </w:r>
          </w:p>
        </w:tc>
      </w:tr>
      <w:tr w:rsidR="000369E0">
        <w:tc>
          <w:tcPr>
            <w:tcW w:w="430" w:type="dxa"/>
          </w:tcPr>
          <w:p w:rsidR="000369E0" w:rsidRDefault="000369E0">
            <w:pPr>
              <w:spacing w:after="0" w:line="240" w:lineRule="auto"/>
              <w:ind w:left="0" w:hanging="2"/>
              <w:jc w:val="center"/>
            </w:pPr>
          </w:p>
        </w:tc>
        <w:tc>
          <w:tcPr>
            <w:tcW w:w="8854" w:type="dxa"/>
          </w:tcPr>
          <w:p w:rsidR="000369E0" w:rsidRDefault="00036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</w:p>
          <w:p w:rsidR="000369E0" w:rsidRDefault="00036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</w:p>
        </w:tc>
      </w:tr>
    </w:tbl>
    <w:p w:rsidR="000369E0" w:rsidRDefault="00943F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Leia a afirmação que segue:</w:t>
      </w:r>
    </w:p>
    <w:p w:rsidR="000369E0" w:rsidRDefault="00036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</w:p>
    <w:p w:rsidR="000369E0" w:rsidRDefault="00943FA3">
      <w:pPr>
        <w:spacing w:after="0" w:line="240" w:lineRule="auto"/>
        <w:ind w:left="0" w:hanging="2"/>
        <w:jc w:val="both"/>
      </w:pPr>
      <w:r>
        <w:rPr>
          <w:i/>
        </w:rPr>
        <w:t>Sabe-se que a carência de integração curricular não é particularidade da área da Informática e da Ciência da Computação, nem muito menos particularidade da instituição em questão. Ao contrário, é uma característica generalizada do ensino em nível de graduação, no Brasil e mesmo no exterior, cujas origens são complexas e diversificadas, mas que não apresenta razões sólidas para sua continuidade atual.</w:t>
      </w:r>
    </w:p>
    <w:p w:rsidR="000369E0" w:rsidRDefault="000369E0">
      <w:pPr>
        <w:spacing w:after="0" w:line="240" w:lineRule="auto"/>
        <w:ind w:left="0" w:hanging="2"/>
        <w:jc w:val="both"/>
      </w:pPr>
    </w:p>
    <w:p w:rsidR="000369E0" w:rsidRDefault="00943FA3">
      <w:pPr>
        <w:spacing w:after="0" w:line="240" w:lineRule="auto"/>
        <w:ind w:left="0" w:hanging="2"/>
        <w:jc w:val="both"/>
      </w:pPr>
      <w:r>
        <w:t xml:space="preserve">Este texto encontra-se na Revista Brasileira de Informática na Educação – Número 7 – 2000, sem paginação e sem referência ao local de publicação. Foi escrito por </w:t>
      </w:r>
      <w:proofErr w:type="spellStart"/>
      <w:r>
        <w:t>Graçaliz</w:t>
      </w:r>
      <w:proofErr w:type="spellEnd"/>
      <w:r>
        <w:t xml:space="preserve"> Pereira </w:t>
      </w:r>
      <w:proofErr w:type="spellStart"/>
      <w:r>
        <w:t>Dimuro</w:t>
      </w:r>
      <w:proofErr w:type="spellEnd"/>
      <w:r>
        <w:t xml:space="preserve">, Antônio </w:t>
      </w:r>
      <w:r>
        <w:lastRenderedPageBreak/>
        <w:t>Carlos da Rocha Costa e Francisco de Paula Marques Rodrigues, com o título “Uma experiência de ensino integrado dos fundamentos matemáticos da ciência da computação”.</w:t>
      </w:r>
    </w:p>
    <w:p w:rsidR="000369E0" w:rsidRDefault="000369E0">
      <w:pPr>
        <w:spacing w:after="0" w:line="240" w:lineRule="auto"/>
        <w:ind w:left="0" w:hanging="2"/>
        <w:jc w:val="both"/>
      </w:pPr>
    </w:p>
    <w:p w:rsidR="00E31EF8" w:rsidRDefault="00943FA3" w:rsidP="00E31EF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Elabore a </w:t>
      </w:r>
      <w:r>
        <w:rPr>
          <w:b/>
          <w:color w:val="000000"/>
        </w:rPr>
        <w:t xml:space="preserve">referência </w:t>
      </w:r>
      <w:r>
        <w:rPr>
          <w:color w:val="000000"/>
        </w:rPr>
        <w:t>do trabalho acima citado.</w:t>
      </w:r>
    </w:p>
    <w:p w:rsidR="00E31EF8" w:rsidRPr="00E31EF8" w:rsidRDefault="00E31EF8" w:rsidP="00E3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  <w:rPr>
          <w:color w:val="000000"/>
        </w:rPr>
      </w:pPr>
    </w:p>
    <w:p w:rsidR="00E31EF8" w:rsidRDefault="00E31EF8" w:rsidP="00E3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720" w:firstLineChars="0" w:firstLine="0"/>
        <w:jc w:val="both"/>
      </w:pPr>
      <w:r>
        <w:t xml:space="preserve">DIMURO, </w:t>
      </w:r>
      <w:proofErr w:type="spellStart"/>
      <w:r>
        <w:t>Graçaliz</w:t>
      </w:r>
      <w:proofErr w:type="spellEnd"/>
      <w:r>
        <w:t>. et al. Uma experiência de ensino integrado dos fundamentos matemáticos da ciência da computação, Revista Brasileira de Informática na Educação, 2000.</w:t>
      </w:r>
    </w:p>
    <w:p w:rsidR="00E31EF8" w:rsidRDefault="00E31EF8" w:rsidP="00E3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  <w:rPr>
          <w:color w:val="000000"/>
        </w:rPr>
      </w:pPr>
    </w:p>
    <w:p w:rsidR="000369E0" w:rsidRDefault="000369E0">
      <w:pPr>
        <w:spacing w:after="0" w:line="240" w:lineRule="auto"/>
        <w:ind w:left="0" w:hanging="2"/>
        <w:jc w:val="both"/>
      </w:pPr>
    </w:p>
    <w:p w:rsidR="000369E0" w:rsidRDefault="00943FA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Elabore uma </w:t>
      </w:r>
      <w:r>
        <w:rPr>
          <w:b/>
          <w:color w:val="000000"/>
        </w:rPr>
        <w:t>citação indireta</w:t>
      </w:r>
      <w:r>
        <w:rPr>
          <w:color w:val="000000"/>
        </w:rPr>
        <w:t xml:space="preserve"> do texto, com sua devida identificação.</w:t>
      </w:r>
    </w:p>
    <w:p w:rsidR="00E31EF8" w:rsidRDefault="00E31EF8" w:rsidP="00E3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  <w:rPr>
          <w:color w:val="000000"/>
        </w:rPr>
      </w:pPr>
    </w:p>
    <w:p w:rsidR="00E31EF8" w:rsidRDefault="00B069D4" w:rsidP="00E3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720" w:firstLineChars="0" w:firstLine="0"/>
        <w:jc w:val="both"/>
        <w:rPr>
          <w:color w:val="000000"/>
        </w:rPr>
      </w:pPr>
      <w:r>
        <w:rPr>
          <w:color w:val="000000"/>
        </w:rPr>
        <w:t>Sabemos</w:t>
      </w:r>
      <w:r w:rsidR="00E31EF8">
        <w:rPr>
          <w:color w:val="000000"/>
        </w:rPr>
        <w:t xml:space="preserve"> que, falta de integração curricular não é uma exclusividade da área da informática e da ciência da computação.</w:t>
      </w:r>
      <w:r>
        <w:rPr>
          <w:color w:val="000000"/>
        </w:rPr>
        <w:t xml:space="preserve"> Pelo contrário, é</w:t>
      </w:r>
      <w:r w:rsidR="00E31EF8">
        <w:rPr>
          <w:color w:val="000000"/>
        </w:rPr>
        <w:t xml:space="preserve"> muito comum no e</w:t>
      </w:r>
      <w:r>
        <w:rPr>
          <w:color w:val="000000"/>
        </w:rPr>
        <w:t>nsino de graduação no Brasil</w:t>
      </w:r>
      <w:r w:rsidR="00E31EF8">
        <w:rPr>
          <w:color w:val="000000"/>
        </w:rPr>
        <w:t xml:space="preserve">, </w:t>
      </w:r>
      <w:r>
        <w:rPr>
          <w:color w:val="000000"/>
        </w:rPr>
        <w:t>e até mesmo em outros países</w:t>
      </w:r>
      <w:r w:rsidR="00E31EF8">
        <w:rPr>
          <w:color w:val="000000"/>
        </w:rPr>
        <w:t xml:space="preserve">. </w:t>
      </w:r>
      <w:r w:rsidR="00E31EF8" w:rsidRPr="00E31EF8">
        <w:rPr>
          <w:color w:val="000000"/>
        </w:rPr>
        <w:t>(DIMURO et al,</w:t>
      </w:r>
      <w:r w:rsidR="00E31EF8">
        <w:rPr>
          <w:color w:val="000000"/>
        </w:rPr>
        <w:t xml:space="preserve"> 2000) </w:t>
      </w:r>
    </w:p>
    <w:p w:rsidR="000369E0" w:rsidRDefault="00036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</w:p>
    <w:p w:rsidR="000369E0" w:rsidRDefault="00943FA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Elabore a </w:t>
      </w:r>
      <w:r>
        <w:rPr>
          <w:b/>
          <w:color w:val="000000"/>
        </w:rPr>
        <w:t>citação direta</w:t>
      </w:r>
      <w:r>
        <w:rPr>
          <w:color w:val="000000"/>
        </w:rPr>
        <w:t xml:space="preserve"> do texto, respeitando as normas estabelecidas pela ABNT.</w:t>
      </w:r>
    </w:p>
    <w:p w:rsidR="000369E0" w:rsidRPr="00E31EF8" w:rsidRDefault="00E31EF8" w:rsidP="00E3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3402" w:firstLineChars="1" w:firstLine="2"/>
        <w:jc w:val="both"/>
        <w:rPr>
          <w:color w:val="000000"/>
          <w:sz w:val="20"/>
        </w:rPr>
      </w:pPr>
      <w:r w:rsidRPr="00E31EF8">
        <w:rPr>
          <w:sz w:val="20"/>
        </w:rPr>
        <w:t>Sabe-se que a carência de integração curricular não é particularidade da área da Informática e da Ciência da Computação, nem muito menos particularidade da instituição em questão. Ao contrário, é uma característica generalizada do ensino em nível de graduação, no Brasil e mesmo no exterior, cujas origens são complexas e diversificadas, mas que não apresenta razões sólidas para sua continuidade atual. (DIMURO et al, 2000)</w:t>
      </w:r>
    </w:p>
    <w:sectPr w:rsidR="000369E0" w:rsidRPr="00E31EF8">
      <w:headerReference w:type="default" r:id="rId8"/>
      <w:pgSz w:w="11906" w:h="16838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C62" w:rsidRDefault="00E32C62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E32C62" w:rsidRDefault="00E32C6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C62" w:rsidRDefault="00E32C62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E32C62" w:rsidRDefault="00E32C6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9E0" w:rsidRDefault="00943FA3">
    <w:pPr>
      <w:spacing w:after="0"/>
      <w:ind w:left="0" w:right="-284" w:hanging="2"/>
      <w:rPr>
        <w:sz w:val="24"/>
        <w:szCs w:val="24"/>
      </w:rPr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-337818</wp:posOffset>
          </wp:positionH>
          <wp:positionV relativeFrom="paragraph">
            <wp:posOffset>91440</wp:posOffset>
          </wp:positionV>
          <wp:extent cx="2159635" cy="659130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59635" cy="6591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369E0" w:rsidRDefault="00943FA3">
    <w:pPr>
      <w:spacing w:after="0"/>
      <w:ind w:left="0" w:right="-284" w:hanging="2"/>
      <w:jc w:val="right"/>
      <w:rPr>
        <w:sz w:val="18"/>
        <w:szCs w:val="18"/>
      </w:rPr>
    </w:pPr>
    <w:r>
      <w:rPr>
        <w:sz w:val="18"/>
        <w:szCs w:val="18"/>
      </w:rPr>
      <w:t>INSTITUTO FEDERAL DE EDUCAÇÃO, CIÊNCIA E TECNOLOGIA DO RIO GRANDE DO SUL</w:t>
    </w:r>
  </w:p>
  <w:p w:rsidR="000369E0" w:rsidRDefault="00943FA3">
    <w:pPr>
      <w:spacing w:after="0"/>
      <w:ind w:left="0" w:right="-284" w:hanging="2"/>
      <w:jc w:val="right"/>
      <w:rPr>
        <w:sz w:val="18"/>
        <w:szCs w:val="18"/>
      </w:rPr>
    </w:pPr>
    <w:r>
      <w:rPr>
        <w:i/>
        <w:sz w:val="18"/>
        <w:szCs w:val="18"/>
      </w:rPr>
      <w:t>CAMPUS</w:t>
    </w:r>
    <w:r>
      <w:rPr>
        <w:sz w:val="18"/>
        <w:szCs w:val="18"/>
      </w:rPr>
      <w:t xml:space="preserve"> CANOAS</w:t>
    </w:r>
  </w:p>
  <w:p w:rsidR="000369E0" w:rsidRDefault="00943FA3">
    <w:pPr>
      <w:spacing w:after="0"/>
      <w:ind w:left="0" w:right="-284" w:hanging="2"/>
      <w:jc w:val="right"/>
      <w:rPr>
        <w:sz w:val="18"/>
        <w:szCs w:val="18"/>
      </w:rPr>
    </w:pPr>
    <w:r>
      <w:rPr>
        <w:sz w:val="18"/>
        <w:szCs w:val="18"/>
      </w:rPr>
      <w:t>LÍNGUA PORTUGUESA E LITERATURA</w:t>
    </w:r>
  </w:p>
  <w:p w:rsidR="000369E0" w:rsidRDefault="000369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21C3A"/>
    <w:multiLevelType w:val="multilevel"/>
    <w:tmpl w:val="3A808B60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FDA0296"/>
    <w:multiLevelType w:val="multilevel"/>
    <w:tmpl w:val="C694D9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E0"/>
    <w:rsid w:val="000369E0"/>
    <w:rsid w:val="00101E95"/>
    <w:rsid w:val="007A50B7"/>
    <w:rsid w:val="00943FA3"/>
    <w:rsid w:val="00B069D4"/>
    <w:rsid w:val="00E31EF8"/>
    <w:rsid w:val="00E3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866EB"/>
  <w15:docId w15:val="{051B9469-8A74-46FE-B832-0E88ABF0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pPr>
      <w:ind w:left="720"/>
      <w:contextualSpacing/>
    </w:p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Corpodetexto">
    <w:name w:val="Body Text"/>
    <w:basedOn w:val="Normal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rPr>
      <w:rFonts w:ascii="Times New Roman" w:eastAsia="Times New Roman" w:hAnsi="Times New Roman" w:cs="Times New Roman"/>
      <w:w w:val="100"/>
      <w:position w:val="-1"/>
      <w:sz w:val="24"/>
      <w:szCs w:val="20"/>
      <w:effect w:val="none"/>
      <w:vertAlign w:val="baseline"/>
      <w:cs w:val="0"/>
      <w:em w:val="none"/>
      <w:lang w:eastAsia="pt-BR"/>
    </w:r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  <w:lang w:eastAsia="en-US"/>
    </w:r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RodapChar">
    <w:name w:val="Rodapé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s/VKr/z0B+RIdu/uzL5O8cuaPg==">AMUW2mUVKcJhuBQGCEy9rK6pdrhVYZB4pjv/3hSJ0B1gfCP6Soru1SWx+aSo4xT/TNUzKe2byz3dl3lbNQtq6UExFPVGyuvoerUrFAu1KOX5AjQ5k+EtjCQ=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769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Vitor Araújo</cp:lastModifiedBy>
  <cp:revision>6</cp:revision>
  <dcterms:created xsi:type="dcterms:W3CDTF">2021-11-05T20:31:00Z</dcterms:created>
  <dcterms:modified xsi:type="dcterms:W3CDTF">2021-11-21T01:57:00Z</dcterms:modified>
</cp:coreProperties>
</file>