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1.Осуществите краткое описание Вашего набора данных. Приведите электронную ссылку на Ваши данные. Перечислите названия полей и их расшифровку (что они означают).</w:t>
      </w:r>
    </w:p>
    <w:p>
      <w:pPr>
        <w:pStyle w:val="Normal"/>
        <w:rPr>
          <w:vertAlign w:val="superscript"/>
        </w:rPr>
      </w:pPr>
      <w:bookmarkStart w:id="0" w:name="_GoBack"/>
      <w:bookmarkEnd w:id="0"/>
      <w:r>
        <w:rPr>
          <w:sz w:val="28"/>
          <w:szCs w:val="28"/>
          <w:vertAlign w:val="superscript"/>
        </w:rPr>
        <w:t>https://archive-beta.ics.uci.edu/dataset/352/online+retail</w:t>
      </w:r>
      <w:r>
        <w:rPr>
          <w:vertAlign w:val="superscript"/>
        </w:rPr>
        <w:br/>
      </w:r>
      <w:r>
        <w:rPr>
          <w:sz w:val="28"/>
          <w:szCs w:val="28"/>
          <w:vertAlign w:val="superscript"/>
        </w:rPr>
        <w:t>Транзакции интернет-магазина за 2010 год.</w:t>
      </w:r>
      <w:r>
        <w:rPr>
          <w:vertAlign w:val="superscript"/>
        </w:rPr>
        <w:br/>
      </w:r>
    </w:p>
    <w:p>
      <w:pPr>
        <w:pStyle w:val="Normal"/>
        <w:rPr>
          <w:vertAlign w:val="superscript"/>
        </w:rPr>
      </w:pP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InvoiceNo</w:t>
      </w:r>
      <w:r>
        <w:rPr>
          <w:sz w:val="28"/>
          <w:szCs w:val="28"/>
          <w:vertAlign w:val="superscript"/>
        </w:rPr>
        <w:t>: Номер счета. 6-значный целочисленный номер, однозначно присвоенный каждой транзакции. Если этот код начинается с буквы «с», это означает отмену.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StockCode</w:t>
      </w:r>
      <w:r>
        <w:rPr>
          <w:sz w:val="28"/>
          <w:szCs w:val="28"/>
          <w:vertAlign w:val="superscript"/>
        </w:rPr>
        <w:t>: Код продукта (элемента). 5-значный целочисленный номер, однозначно присвоенный каждому отдельному продукту.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Description</w:t>
      </w:r>
      <w:r>
        <w:rPr>
          <w:sz w:val="28"/>
          <w:szCs w:val="28"/>
          <w:vertAlign w:val="superscript"/>
        </w:rPr>
        <w:t>: Название продукта (элемента).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Quantity</w:t>
      </w:r>
      <w:r>
        <w:rPr>
          <w:sz w:val="28"/>
          <w:szCs w:val="28"/>
          <w:vertAlign w:val="superscript"/>
        </w:rPr>
        <w:t>: Количество каждого продукта (элемента) за транзакцию.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InvoiceDate</w:t>
      </w:r>
      <w:r>
        <w:rPr>
          <w:sz w:val="28"/>
          <w:szCs w:val="28"/>
          <w:vertAlign w:val="superscript"/>
        </w:rPr>
        <w:t>: Дата и время счета. День и время создания каждой транзакции.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UnitPrice</w:t>
      </w:r>
      <w:r>
        <w:rPr>
          <w:sz w:val="28"/>
          <w:szCs w:val="28"/>
          <w:vertAlign w:val="superscript"/>
        </w:rPr>
        <w:t>:Цена товара за единицу в фунтах стерлингов.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CustomerId</w:t>
      </w:r>
      <w:r>
        <w:rPr>
          <w:sz w:val="28"/>
          <w:szCs w:val="28"/>
          <w:vertAlign w:val="superscript"/>
        </w:rPr>
        <w:t>: номер клиента. Номинал, 5-значный целочисленный номер, однозначно присвоенный каждому покупателю.</w:t>
      </w:r>
      <w:r>
        <w:rPr>
          <w:vertAlign w:val="superscript"/>
        </w:rPr>
        <w:br/>
      </w:r>
      <w:r>
        <w:rPr>
          <w:b/>
          <w:bCs/>
          <w:sz w:val="28"/>
          <w:szCs w:val="28"/>
          <w:vertAlign w:val="superscript"/>
        </w:rPr>
        <w:t>Country</w:t>
      </w:r>
      <w:r>
        <w:rPr>
          <w:sz w:val="28"/>
          <w:szCs w:val="28"/>
          <w:vertAlign w:val="superscript"/>
        </w:rPr>
        <w:t>: Название страны, в которой проживает каждый клиент.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2-3 Импортируйте внешнюю библиотеку Pandas: Import pandas as pd</w:t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Прочитайте файл с Вашими данными.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4572000" cy="19812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4. Определите количество наблюдений в Ваших данных.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1771650" cy="2038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5-6. Разбейте Ваш файл с данными на части по количеству наблюдений.</w:t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Приведите скриншот папки с файлами являющимися частями исходного файла с данными.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000115" cy="2187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2159000" cy="28746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7. Объедините данные из Ваших частей в один файл и выведите его содержимое.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4572000" cy="2028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8. Переиндексируйте итоговый датафрейм и выведите результат.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4572000" cy="14859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9. Сгруппируйте данные по значениям в выбранном Вами столбце в Ваших данных. Затем агрегируйте сгруппированные данные по некоторым другим колонкам (см. Функцию aggregate) и отсортируйте свои данные по возрастанию в каком-нибудь из Ваших столбцов (см. функцию sort_values) , затем по убыванию значений в этом столбце. При написании кода используйте знак переноса строки (см. \ ) для каждого из метода. Сохраните результат в файл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5556250" cy="33337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10. Выведите информацию о Вашем датафрейме.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4572000" cy="35814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11. Создайте колонку, в которую будут для каждого наблюдения записываться дни недели для соответствующих дат. Выведите результат.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998970" cy="1968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12. Создайте группы (метод grupby) для Ваших данных по дням недели. Выведите информацию о некоторой колонке в Ваших данных по дням недели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784340" cy="267144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13. Импортируйте библиотеку matplotlib. Постройте столбчатую диаграмму: по горизонтальной оси – день недели, по вертикальной – значение выводимого Вами признака.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5307965" cy="52527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  <w:vertAlign w:val="superscript"/>
        </w:rPr>
      </w:r>
    </w:p>
    <w:p>
      <w:pPr>
        <w:pStyle w:val="Normal"/>
        <w:rPr>
          <w:b/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b/>
          <w:bCs/>
          <w:sz w:val="28"/>
          <w:szCs w:val="28"/>
          <w:vertAlign w:val="superscript"/>
        </w:rPr>
        <w:t>Полный код: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887210" cy="348678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674485" cy="290639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6835775" cy="297624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vertAlign w:val="superscript"/>
        </w:rPr>
      </w:pPr>
      <w:r>
        <w:rPr>
          <w:vertAlign w:val="superscript"/>
        </w:rPr>
        <w:drawing>
          <wp:inline distT="0" distB="0" distL="0" distR="0">
            <wp:extent cx="5952490" cy="385699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spacing w:before="0" w:after="160"/>
        <w:rPr>
          <w:vertAlign w:val="superscript"/>
        </w:rPr>
      </w:pPr>
      <w:r>
        <w:rPr>
          <w:vertAlign w:val="superscript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cdd3dc-ca60-4037-9631-5d63c2dde9fb" xsi:nil="true"/>
    <TaxCatchAll xmlns="d5322a26-1ed0-4566-bb38-aa098c37614d" xsi:nil="true"/>
    <lcf76f155ced4ddcb4097134ff3c332f xmlns="3dcdd3dc-ca60-4037-9631-5d63c2dde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B0CE9E68D9514EA36E4612AA75D2CA" ma:contentTypeVersion="9" ma:contentTypeDescription="Создание документа." ma:contentTypeScope="" ma:versionID="d62c14c23a1b829599b0a7d2d64ac7e8">
  <xsd:schema xmlns:xsd="http://www.w3.org/2001/XMLSchema" xmlns:xs="http://www.w3.org/2001/XMLSchema" xmlns:p="http://schemas.microsoft.com/office/2006/metadata/properties" xmlns:ns2="3dcdd3dc-ca60-4037-9631-5d63c2dde9fb" xmlns:ns3="d5322a26-1ed0-4566-bb38-aa098c37614d" targetNamespace="http://schemas.microsoft.com/office/2006/metadata/properties" ma:root="true" ma:fieldsID="530f5c1554e49613139b9acb3b90d766" ns2:_="" ns3:_="">
    <xsd:import namespace="3dcdd3dc-ca60-4037-9631-5d63c2dde9fb"/>
    <xsd:import namespace="d5322a26-1ed0-4566-bb38-aa098c3761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dd3dc-ca60-4037-9631-5d63c2dde9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22a26-1ed0-4566-bb38-aa098c37614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aad78f3-0914-45e9-8ef7-80158c46b831}" ma:internalName="TaxCatchAll" ma:showField="CatchAllData" ma:web="d5322a26-1ed0-4566-bb38-aa098c3761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F62D1-1CF7-452F-9E72-1E75358D0864}"/>
</file>

<file path=customXml/itemProps2.xml><?xml version="1.0" encoding="utf-8"?>
<ds:datastoreItem xmlns:ds="http://schemas.openxmlformats.org/officeDocument/2006/customXml" ds:itemID="{C28FAA70-4FFF-4A24-BB19-E19A3F9245A9}"/>
</file>

<file path=customXml/itemProps3.xml><?xml version="1.0" encoding="utf-8"?>
<ds:datastoreItem xmlns:ds="http://schemas.openxmlformats.org/officeDocument/2006/customXml" ds:itemID="{EDD401AF-FC34-4C8C-9DBB-6C68637BA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8</Pages>
  <Words>298</Words>
  <Characters>1995</Characters>
  <CharactersWithSpaces>2281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2023-03-13T10:06:58Z</dcterms:created>
  <dc:creator>Тютиков Виталий Васильевич</dc:creator>
  <dc:description/>
  <dc:language>en-US</dc:language>
  <cp:lastModifiedBy/>
  <dcterms:modified xsi:type="dcterms:W3CDTF">2023-03-13T16:02:24Z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0x0101001BB0CE9E68D9514EA36E4612AA75D2CA</vt:lpwstr>
  </property>
</Properties>
</file>