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E86AB"/>
          <w:sz w:val="24"/>
          <w:szCs w:val="24"/>
        </w:rPr>
        <w:t xml:space="preserve">DB1 TECHNOLOGY</w:t>
      </w:r>
    </w:p>
    <w:p>
      <w:pPr>
        <w:pBdr>
          <w:bottom w:val="single" w:color="2E86AB" w:sz="4" w:space="1"/>
        </w:pBdr>
        <w:spacing w:after="600" w:before="0"/>
        <w:jc w:val="center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1E3A5F"/>
          <w:sz w:val="52"/>
          <w:szCs w:val="52"/>
        </w:rPr>
        <w:t xml:space="preserve">ESTUDO DE VIABILIDADE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Assistente de IA com RAG para Documentação Interna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A5A5A"/>
          <w:sz w:val="28"/>
          <w:szCs w:val="28"/>
        </w:rPr>
        <w:t xml:space="preserve">NovaTech Logística</w:t>
      </w:r>
    </w:p>
    <w:p>
      <w:pPr>
        <w:spacing w:after="0" w:before="8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Engenharia de Agentes de IA — DB1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NovaTech Logística — Diretoria de TI e Operações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Junho de 2026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Versão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— Draft para revisão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Confidencial</w:t>
            </w:r>
          </w:p>
        </w:tc>
      </w:tr>
    </w:tbl>
    <w:p>
      <w:pPr>
        <w:spacing w:after="0" w:before="16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Sumário Executivo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documento apresenta o estudo de viabilidade técnica para a construção de um assistente de IA baseado em Retrieval-Augmented Generation (RAG) para a NovaTech Logística, conduzido pela equipe de Engenharia de Agentes de IA da DB1.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problema central é objetivo e mensurável: 45 atendentes consomem em média 12 minutos por chamado buscando informações em ~1.250 documentos espalhados em três sistemas heterogêneos. Com 320 chamados/dia e 60% deles envolvendo consulta documental, isso representa aproximadamente 1.152 horas perdidas diariamente em busca manual de informação — um custo operacional e de qualidade expressivo.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solução proposta é tecnicamente viável dentro do orçamento de 3 meses e da infraestrutura Microsoft 365 E3 + Azure AI Services já contratada. Contudo, a viabilidade está condicionada ao tratamento adequado de três desafios críticos identificados neste estudo: (1) heterogeneidade e baixa estrutura dos documentos-fonte, (2) contradições entre versões de documentos sem processo de governança unificado, e (3) otimização do orçamento de contexto da LLM para garantir qualidade de resposta.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meta da diretoria — reduzir o tempo de busca de 12 para menos de 2 minutos por chamado — é alcançável, mas exige rigor no pipeline de ingestão, estratégia de chunking diferenciada por tipo de fonte, e implementação de mecanismos de confiabilidade que enderecem explicitamente o problema de documentos conflitantes.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Desafios do Pipeline de RAG por Tipo de Fonte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qualidade das respostas de um sistema RAG é determinada, em primeira instância, pela qualidade dos chunks recuperados. Chunks mal formados — resultantes de extração deficiente, chunking inadequado ou perda de contexto estrutural — comprometem a resposta final independentemente da capacidade da LLM. Cada tipo de fonte da NovaTech apresenta desafios específicos que precisam ser endereçados no design do pipeline de ingestão.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PDFs com Tabelas Complexas (15+ colunas)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Desafio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Tabelas de SLA, tabelas de frete e tabelas de procedimentos são o coração operacional da documentação da NovaTech. PDFs com 15 ou mais colunas representam o desafio mais crítico do pipeline, pois a extração de texto linear (padrão de bibliotecas como PyMuPDF ou pdfplumber) serializa colunas em sequência, destruindo a relação semântica entre cabeçalho e célula.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Exemplo concreto: uma tabela de SLA com colunas [Tipo de Cliente | Região | Modal | Peso (kg) | Prazo (dias) | Cobertura | ...] ao ser extraída como texto plano vira uma sequência ininteligível de valores numéricos sem contexto. A LLM, ao tentar responder 'Qual o prazo de entrega para cliente Premium no modal aéreo no Nordeste?', receberá um chunk que não preserva a estrutura necessária para cruzar as três dimensões da pergunta.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Impacto na qualidade: resposta incorreta ou 'não encontrei a informação' mesmo com o dado presente na base. Este é o cenário mais danoso para a confiança do atendente no sistema.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2E8B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Estratégia Recomendada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Etapa 1 — Detecção automática de tabelas: utilizar pdfplumber com heurística de bounding boxes para detectar regiões tabulares antes da extração de texto. Tabelas detectadas devem seguir pipeline separado.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Etapa 2 — Extração estruturada: converter tabelas detectadas para HTML ou Markdown com separadores de coluna preservados. A representação em Markdown (| col1 | col2 |) é nativamente compreendida por LLMs treinadas com dados da web.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Etapa 3 — Chunking orientado a linha: cada linha da tabela, acompanhada do cabeçalho completo da tabela e dos primeiros parágrafos de contexto do documento, forma um chunk autônomo. Isso garante que a relação cabeçalho-valor seja mantida em cada chunk recuperado.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Etapa 4 — Metadata enriquecida: adicionar ao chunk os metadados: nome_documento, número_tabela, tipo_tabela (SLA/Frete/Procedimento), data_vigência. Esses metadados habilitam filtros de pré-retrieval que melhoram a precisão.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PDFs com Fluxogramas e Imagens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Desafio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Fluxogramas de procedimento (ex.: fluxo de reclamação, processo de devolução) e imagens técnicas são invisíveis para extratores de texto convencionais. O conteúdo semântico crítico — como 'Se prazo &gt; 48h, escalar para gerência' presente num losango de decisão — simplesmente não entra no índice vetorial.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Além disso, referências ao fluxograma no texto corrido ('conforme Figura 3') criam chunks orfãos que não fazem sentido sem a imagem referenciada.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2E8B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Estratégia Recomendada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Aplicar OCR multimodal com GPT-4o Vision ou Azure AI Document Intelligence na ingestão de páginas que contenham imagens/fluxogramas. O modelo descreve o conteúdo visual em linguagem natural, gerando um chunk textual indexável.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Alternativa de menor custo: usar Azure AI Document Intelligence (Form Recognizer) que detecta, extrai e descreve figuras automaticamente. Já está disponível no Azure AI Services contratado pela NovaTech.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Armazenar a descrição gerada como chunk com metadado tipo=imagem/fluxograma e referência à página-fonte, permitindo ao sistema indicar ao atendente a página exata para visualização manual quando necessário.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PDFs Escaneados (documentos digitalizados)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Desafio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Documentos escaneados são imagens de páginas, não texto. Extratores convencionais retornam string vazia ou caracteres corrompidos. Documentos escaneados com baixa resolução (&lt; 150 DPI), inclinação ou fundos manchados geram OCR com alta taxa de erro — e erros de OCR se propagam para o índice vetorial, degradando a qualidade do embedding.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Um erro típico: 'prazo de 3 dias úteis' sendo extraído como 'praz0 de 3 dlas útels' e não sendo recuperado quando o atendente pergunta sobre 'prazo de entrega'.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2E8B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Estratégia Recomendada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Pipeline específico para documentos escaneados: detecção automática (se extração de texto retornar &lt; 100 caracteres por página, reclassificar como escaneado) → pré-processamento de imagem (deskew, denoising, upscaling para 300 DPI com OpenCV/Pillow) → OCR com Azure AI Document Intelligence ou Tesseract com language model para pt-BR → pós-processamento com spell-checker especializado em vocabulário logístico.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Marcar esses chunks com metadado qualidade_ocr=baixa para que o sistema de resposta sinalize ao atendente quando a fonte original deveria ser consultada manualmente. Isso preserva confiança sem suprimir a informação.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Wiki Confluence (links entre páginas e macros customizados)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Desafio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wiki do Confluence apresenta dois desafios estruturais distintos. O primeiro é de grafo: links entre páginas criam dependências semânticas onde o significado completo de uma página só é compreendido com o contexto das páginas linkadas. Um chunk de 'Procedimento de Reclamação Tipo B' que referencia 'ver Política de SLA — Tabela 1' sem incluir o conteúdo da página referenciada cria respostas incompletas.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 segundo desafio são as macros customizadas do Confluence (info, warning, expand, jira-issue, status). Ao exportar via API REST, macros aparecem como código HTML/XML não processado ou são simplesmente omitidas, podendo suprimir informações críticas que estavam em blocos de aviso ou expansão.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2E8B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Estratégia Recomendada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Usar a API REST do Confluence (v2) para exportar o conteúdo em formato storage format (XML estruturado), não HTML. Isso permite processar macros de forma determinística.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Implementar resolução de links em dois níveis: (a) inclusão do título e primeiro parágrafo da página linkada como contexto inline no chunk, e (b) mapeamento de grafo de dependências para retrieval por propagação — se o chunk A é recuperado e referencia o chunk B, B também é incluído na janela de contexto com peso reduzido.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Criar parser específico para macros: blocos info/warning → preservar como texto com prefixo [AVISO] ou [INFORMAÇÃO]; macros expand → extrair conteúdo interno; macros jira-issue → registrar como referência de rastreabilidade mas não incluir no chunk principal.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Planilhas com Fórmulas Interdependentes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Desafio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Planilhas são o tipo de documento mais problemático para RAG por três razões: (1) o valor semântico está na relação entre células, não no conteúdo isolado; (2) fórmulas interdependentes (=SE(B2&gt;100; VLOOKUP(A2; TabelaFrete; 3)); etc.) são computações, não texto; e (3) planilhas atualizadas mensalmente geram o risco de chunks desatualizados no índice se o pipeline de re-ingestão não for executado corretamente.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Extrair uma planilha de cálculo de frete como texto plano produz colunas de números sem significado e fórmulas como strings — informação que a LLM não consegue interpretar corretamente para responder 'Qual o frete para 50kg de São Paulo para Manaus?'.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2E8B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Estratégia Recomendada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Não indexar fórmulas — indexar resultados computados: usar openpyxl para ler os valores calculados (não as fórmulas) de cada célula, preservando a estrutura de cabeçalhos.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Para tabelas de referência (faixas de peso × região × modal → valor de frete): materializar todas as combinações como tuplas texto antes de indexar. Ex: 'Frete modal rodoviário, Região Norte, faixa 0-50kg: R$ 8,50/kg. Vigência: junho/2026.'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Implementar trigger de re-ingestão automático vinculado à atualização mensal dos arquivos no SharePoint (via Microsoft Graph API + webhook), garantindo que o índice vetorial seja atualizado dentro de 24h após cada revisão.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Adicionar metadado data_vigência em cada chunk de planilha, permitindo que o sistema de resposta alerte o atendente se estiver referenciando uma planilha próxima da data de revisão.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1.6 Documentos com Versões Conflitantes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39" w:sz="1"/>
              <w:left w:val="single" w:color="E07B39" w:sz="1"/>
              <w:bottom w:val="single" w:color="E07B39" w:sz="1"/>
              <w:right w:val="single" w:color="E07B39" w:sz="1"/>
            </w:tcBorders>
            <w:shd w:fill="E07B3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 RISCO CRÍTICO — Contradições entre Versões</w:t>
            </w:r>
          </w:p>
        </w:tc>
      </w:tr>
      <w:tr>
        <w:tc>
          <w:tcPr>
            <w:tcW w:type="dxa" w:w="9360"/>
            <w:tcBorders>
              <w:top w:val="single" w:color="E07B39" w:sz="1"/>
              <w:left w:val="single" w:color="E07B39" w:sz="1"/>
              <w:bottom w:val="single" w:color="E07B39" w:sz="1"/>
              <w:right w:val="single" w:color="E07B39" w:sz="1"/>
            </w:tcBorders>
            <w:shd w:fill="FFF0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 cenário mais arriscado identificado no briefing da NovaTech: documentos que se contradizem entre versões, com a equipe resolvendo atualmente 'perguntando para quem sabe'. Um sistema RAG sem tratamento explícito desse problema vai recuperar ambas as versões conflitantes e a LLM pode sintetizar uma resposta que mistura as duas — pior do que o estado atual.</w:t>
            </w:r>
          </w:p>
        </w:tc>
      </w:tr>
      <w:tr>
        <w:tc>
          <w:tcPr>
            <w:tcW w:type="dxa" w:w="9360"/>
            <w:tcBorders>
              <w:top w:val="single" w:color="E07B39" w:sz="1"/>
              <w:left w:val="single" w:color="E07B39" w:sz="1"/>
              <w:bottom w:val="single" w:color="E07B39" w:sz="1"/>
              <w:right w:val="single" w:color="E07B39" w:sz="1"/>
            </w:tcBorders>
            <w:shd w:fill="FFF0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Exemplo: 'Política de Devolução v2.1 (Comercial)' diz prazo de 15 dias; 'Manual de Procedimentos v3.4 (Operações)' diz 7 dias. O RAG recupera ambos e a LLM responde '7 a 15 dias' — resposta tecnicamente imprecisa que pode criar conflito com o cliente.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2E8B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Estratégia de Mitigação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Metadado de autoridade: classificar cada documento com área_responsável (Operações, Compliance, Comercial), data_vigência e versão. Implementar regras de precedência: em caso de conflito detectado entre chunks, o chunk com data_vigência mais recente da área de Compliance tem precedência sobre os demais.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Detecção de conflito pré-resposta: ao recuperar múltiplos chunks que tratam da mesma entidade com valores diferentes, o sistema deve identificar o conflito, apresentar ambas as versões ao atendente com indicação das fontes, e recomendar verificação humana. Isso replica, de forma estruturada, o comportamento atual de 'perguntar para quem sabe'.</w:t>
            </w:r>
          </w:p>
        </w:tc>
      </w:tr>
      <w:tr>
        <w:tc>
          <w:tcPr>
            <w:tcW w:type="dxa" w:w="936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E6F7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Recomendação estrutural: propor à NovaTech a implementação de um processo de revisão unificada como pré-condição para go-live. Um RAG sobre documentação conflitante tem teto de qualidade limitado independentemente da sofisticação técnica.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Estimativa de Tamanho da Base em Tokens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estimativa de tokens é fundamental para dimensionar o banco vetorial, os custos de ingestão (embedding) e os custos de operação (query + geração). Utilizamos a regra prática amplamente adotada de 0,75 palavras por token para textos em português, que é ligeiramente mais conservadora que para o inglês devido à morfologia flexional do português.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Cálculo por Fonte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500"/>
        <w:gridCol w:w="12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Palavras/Unidade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Palavras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 Ajuste</w:t>
            </w:r>
          </w:p>
        </w:tc>
        <w:tc>
          <w:tcPr>
            <w:tcW w:type="dxa" w:w="1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Tokens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PDFs — texto corrido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800 docs × 10 págs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~300 palavras/pág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2.400.000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÷ 0,75</w:t>
            </w:r>
          </w:p>
        </w:tc>
        <w:tc>
          <w:tcPr>
            <w:tcW w:type="dxa" w:w="1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~3.200.000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PDFs — tabelas (est. 30% dos docs)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240 docs com tabelas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Representação Markdown (~2× texto)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1.440.000 (adicional)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÷ 0,75</w:t>
            </w:r>
          </w:p>
        </w:tc>
        <w:tc>
          <w:tcPr>
            <w:tcW w:type="dxa" w:w="1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~1.920.000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Wiki Confluence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páginas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1.500 palavras/pág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600.000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÷ 0,75</w:t>
            </w:r>
          </w:p>
        </w:tc>
        <w:tc>
          <w:tcPr>
            <w:tcW w:type="dxa" w:w="1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~800.000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Planilhas (valores materializados)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 planilhas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~2.000 palavras equiv./planilha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100.000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÷ 0,75</w:t>
            </w:r>
          </w:p>
        </w:tc>
        <w:tc>
          <w:tcPr>
            <w:tcW w:type="dxa" w:w="1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~133.000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Descrições de imagens/fluxogramas (OCR/Vision)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Est. 400 imagens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~150 palavras/descrição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60.000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÷ 0,75</w:t>
            </w:r>
          </w:p>
        </w:tc>
        <w:tc>
          <w:tcPr>
            <w:tcW w:type="dxa" w:w="1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~80.000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≈ 4.600.000 palavras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≈ 6.133.000 tokens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 Metodológica sobre o Fator de Ajuste para Tabelas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Tabelas convertidas para Markdown têm densidade de tokens mais alta que texto corrido, pois os separadores de coluna (|), cabeçalhos repetidos por chunk e espaçamento de células adicionam overhead. O fator 2× para tabelas é conservador — testes com pdfplumber + Markdown em tabelas de SLA logísticas indicam overhead de 1,8× a 2,4×. Recomendamos confirmar esse fator com amostra real dos documentos da NovaTech antes de dimensionar o cluster de embedding.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Dimensionamento do Banco Vetorial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base na estimativa de tokens e no tamanho de chunk de 500 tokens recomendado (justificado na Seção 4), o número esperado de chunks no índice vetorial é: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de tokens na base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~6.130.000 tokens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Tamanho médio do chunk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tokens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Número estimado de chunks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~12.260 chunks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Overlap entre chunks (20%)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+~2.450 chunks adicionais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de vetores no índice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~14.700 vetores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Dimensão do embedding (text-embedding-3-large)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3.072 dimensões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Espaço em memória (float32)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~180 MB</w:t>
            </w:r>
          </w:p>
        </w:tc>
      </w:tr>
      <w:tr>
        <w:tc>
          <w:tcPr>
            <w:tcW w:type="dxa" w:w="4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 de ingestão único (text-embedding-3-large @ $0,13/1M tokens)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~$0,80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banco vetorial de ~14.700 vetores é modesto pelo padrão de soluções RAG empresariais. Azure AI Search, Qdrant ou Chroma rodam confortavelmente nessa escala com consultas abaixo de 50ms — bem dentro do SLA necessário para resposta em tempo real ao atendente. O custo de re-ingestão mensal (apenas documentos alterados) será na faixa de $0,05 a $0,10, desprezível operacionalmente.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Orçamento de Contexto e Estratégia de Retrieval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janela de contexto da LLM é o recurso mais escasso e determinante da qualidade do sistema. Gerenciá-la de forma inteligente é a diferença entre um assistente que responde com precisão e um que 'alucina' por falta de informação relevante ou perde informação crítica afogada em contexto irrelevante.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Decomposição do Orçamento de Contexto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200"/>
        <w:gridCol w:w="38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Budget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Janela total GPT-4o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128.000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3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Limite hard da API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prompt + instruções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~2.000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1,6%</w:t>
            </w:r>
          </w:p>
        </w:tc>
        <w:tc>
          <w:tcPr>
            <w:tcW w:type="dxa" w:w="3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Persona, regras de comportamento, formato de resposta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Histórico de conversa (3 turnos)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~1.500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1,2%</w:t>
            </w:r>
          </w:p>
        </w:tc>
        <w:tc>
          <w:tcPr>
            <w:tcW w:type="dxa" w:w="3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Manter contexto do chamado em andamento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Pergunta do usuário + metadados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~300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0,2%</w:t>
            </w:r>
          </w:p>
        </w:tc>
        <w:tc>
          <w:tcPr>
            <w:tcW w:type="dxa" w:w="3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+ contexto do chamado (tipo cliente, região)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Resposta reservada (output)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~1.500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1,2%</w:t>
            </w:r>
          </w:p>
        </w:tc>
        <w:tc>
          <w:tcPr>
            <w:tcW w:type="dxa" w:w="3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Resposta estruturada com citação de fonte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Budget disponível para chunks RAG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~122.700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95,9%</w:t>
            </w:r>
          </w:p>
        </w:tc>
        <w:tc>
          <w:tcPr>
            <w:tcW w:type="dxa" w:w="3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Margem confortável para retrieval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Chunks de 500 tokens que cabem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~245 chunks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Máximo teórico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Chunks recomendados por query (k)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10 a 20 chunks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~8–16%</w:t>
            </w:r>
          </w:p>
        </w:tc>
        <w:tc>
          <w:tcPr>
            <w:tcW w:type="dxa" w:w="3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Janela operacional recomendada (ver justificativa)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Por que Não Usar os 245 Chunks Disponíveis?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Fenômeno 'Lost in the Middle' — Justificativa Central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Pesquisas de Liu et al. (2023) e estudos subsequentes de avaliação de LLMs demonstraram consistentemente que modelos de linguagem apresentam viés posicional na atenção: informações posicionadas no início e no final do contexto recebem significativamente mais peso do que as posicionadas no meio.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 janelas de contexto grandes preenchidas com muitos chunks, os chunks intermediários são parcialmente 'ignorados' pelo mecanismo de atenção. Para um sistema RAG operacional, isso significa que aumentar k de 15 para 50 chunks pode, paradoxalmente, piorar a qualidade das respostas se os chunks mais relevantes forem posicionados no meio da janela.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Conclusão operacional: o orçamento de contexto disponível (245 chunks) NÃO deve ser inteiramente utilizado. A estratégia correta é selecionar um k pequeno de chunks de alta qualidade e posicioná-los estrategicamente no prompt.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Estratégia de Posicionamento nos Prompts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 no Prompt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Início (após system prompt)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Chunks de maior score de relevância (top-3 a top-5)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Posição de maior peso atencional — o chunk mais importante deve estar aqui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Meio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Chunks de contexto complementar e chunks de fonte secundária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Posição de menor peso — conteúdo de suporte, não determinante da resposta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Final (antes da pergunta)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Segundo grupo de chunks altamente relevantes + a pergunta do usuário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Segunda posição de alto peso — perguntas são processadas retroativamente a partir daqui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estratégia de sandwich (relevantes no início → complementares no meio → relevantes no final → pergunta) maximiza a probabilidade de que a LLM processe os chunks críticos com plena atenção, mesmo em janelas de contexto de tamanho médio.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Estratégia de Retrieval em Dois Estágios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garantir qualidade dos chunks selecionados sem desperdiçar o orçamento de contexto, recomendamos retrieval em dois estágios:</w:t>
      </w:r>
    </w:p>
    <w:p>
      <w:pPr>
        <w:spacing w:after="0" w:before="80"/>
      </w:pPr>
      <w:r>
        <w:t xml:space="preserve"/>
      </w:r>
    </w:p>
    <w:tbl>
      <w:tblPr>
        <w:tblW w:type="dxa" w:w="93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762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76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Estágio 1 — Recall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Dense retrieval (embeddings semânticos) com k=50 a 100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Top-100 candidatos</w:t>
            </w:r>
          </w:p>
        </w:tc>
        <w:tc>
          <w:tcPr>
            <w:tcW w:type="dxa" w:w="2762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Maximizar recall — não perder nenhum chunk relevante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Estágio 2 — Precision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Cross-encoder re-ranking (ex.: bge-reranker-v2-m3 ou Cohere Rerank)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Top-10 a 20 chunks</w:t>
            </w:r>
          </w:p>
        </w:tc>
        <w:tc>
          <w:tcPr>
            <w:tcW w:type="dxa" w:w="2762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Maximizar precisão — selecionar os mais relevantes para o contexto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Filtro de Metadados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Filtros por área_responsável, data_vigência, tipo_doc antes do retrieval</w:t>
            </w:r>
          </w:p>
        </w:tc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Redução do espaço de busca</w:t>
            </w:r>
          </w:p>
        </w:tc>
        <w:tc>
          <w:tcPr>
            <w:tcW w:type="dxa" w:w="2762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Evitar recuperar chunks desatualizados ou fora do escopo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Cross-encoder Re-ranking?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Embeddings bi-encoder (os utilizados na indexação vetorial) computam a similaridade pergunta-chunk de forma independente — cada vetor é gerado sem ver o outro. Cross-encoders processam o par (pergunta, chunk) simultaneamente, capturando interações semânticas mais sutis. Em benchmarks de recuperação de informação, re-rankers cross-encoder melhoram MRR@10 em 15 a 30% sobre bi-encoders puros.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 custo adicional de latência (50 a 150ms) é aceitável para o caso de uso da NovaTech, onde a alternativa atual é 12 minutos de busca manual.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Estratégias de Chunking Recomendadas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estratégia de chunking é, ao lado do retrieval, o fator mais determinante da qualidade final do sistema RAG. Chunks inadequados — muito grandes (perdem precisão de retrieval), muito pequenos (perdem contexto para a LLM), ou mal delimitados (cortam informações estruturalmente relacionadas) — degradam o sistema independentemente da qualidade da LLM.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estratégia deve ser calibrada pelo tipo de pergunta que o atendente vai fazer e pela estrutura semântica de cada tipo de documento.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Tipologia de Perguntas do Atendente — Análise de Intenção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Pergunta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Real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Estrutura de Dado Necessária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Implicação para Chunking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Lookup pontual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'Qual o prazo de entrega para cliente Gold no Nordeste, modal aéreo?'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Linha específica de tabela de SLA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Chunk por linha de tabela com cabeçalho completo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Procedimento sequencial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'Quais são os passos para registrar uma reclamação de carga avariada?'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ordenada de passos de um fluxo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Chunk por seção de procedimento com contexto do processo-pai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Regra de negócio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'A apólice cobre avaria em transporte refrigerado?'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Parágrafo de política com condicionantes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Chunk semântico preservando parágrafo completo com seu título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Comparação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'Qual a diferença entre o SLA do cliente Padrão e do cliente Premium?'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Múltiplos registros relacionados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chunk + child chunks; retrieval recupera parent para comparação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Definição/conceito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'O que é considerado carga de alto valor para fins de seguro?'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Definição em glossário ou política</w:t>
            </w:r>
          </w:p>
        </w:tc>
        <w:tc>
          <w:tcPr>
            <w:tcW w:type="dxa" w:w="3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Chunk mínimo preservando definição completa com termos relacionados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Estratégias por Tipo de Fonte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PDFs — Documentos de Política e Procedimento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Estratégia: Chunking hierárquico (Parent-Child)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Tamanho do chunk filho: 300 a 500 tokens (foco em precisão de retrieval)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Tamanho do chunk pai: 1.000 a 1.500 tokens (foco em contexto para geração)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Delimitação: baseada em estrutura semântica (títulos de seção, mudança de tópico), não em tamanho fixo de caracteres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Justificativa: O chunk filho é usado no retrieval (menor = mais preciso na similaridade). O chunk pai é passado para a LLM (maior = mais contexto para resposta completa). Essa dissociação resolve a tensão fundamental entre precisão de busca e qualidade de geração.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Overlap: 10 a 15% do tamanho do chunk entre chunks consecutivos para evitar corte de raciocínios que cruzam fronteiras de chunk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Tabelas de SLA e Frete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Estratégia: Chunking por linha com cabeçalho injetado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linha da tabela é um chunk autônomo precedido pelo cabeçalho completo da tabela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Formato: '[Tabela: SLA por Segmento — vigência jun/2026] | Segmento: Gold | Região: Nordeste | Modal: Aéreo | Prazo: 2 dias úteis | Cobertura: 100%'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Justificativa: Perguntas de lookup pontual têm alta especificidade. Um chunk de linha com cabeçalho injetado maximiza a similaridade semântica entre a pergunta ('prazo para Gold no Nordeste') e o chunk correto, sem incluir linhas irrelevantes que aumentariam ruído.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usar janela deslizante em tabelas: criar confusão entre linhas adjacentes de segmentos diferentes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Wiki Confluence — Páginas de Procedimento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Estratégia: Chunking por seção com resolução de links inline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Tamanho: 400 a 600 tokens por chunk, delimitado por heading do Confluence (H2/H3)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cada link interno na página, injetar no chunk o título + primeiro parágrafo da página referenciada como contexto inline entre colchetes: '[Contexto de página linkada: Política de SLA — Clientes especiais recebem prazo diferenciado conforme tabela...]'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Justificativa: O atendente frequentemente faz perguntas que atravessam links ('Qual a política de devolução para cliente Gold?' onde 'Gold' está definido em outra página). A resolução inline elimina o salto de página que degradaria a resposta.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Planilhas de Referência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Estratégia: Materialização de tuplas + chunking por grupo de faixa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grupo de 10 a 15 linhas de uma faixa de valores similares (ex.: mesma região, pesos próximos) forma um chunk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Prefixar cada chunk com contexto da planilha: '[Planilha: Tabela de Frete — atualizada mai/2026 — Versão 8.2]'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Justificativa: Agrupa dados relacionados que provavelmente serão consultados juntos em uma mesma pergunta de comparação, sem inflar o chunk com linhas de outros contextos irrelevantes.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Parâmetros Consolidados de Chunking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Fonte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 (tokens)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Overlap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Metadados Obrigatórios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— Política/Procedimento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Hierárquico (Parent-Child)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Filho: 400 | Pai: 1.200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10–15%</w:t>
            </w:r>
          </w:p>
        </w:tc>
        <w:tc>
          <w:tcPr>
            <w:tcW w:type="dxa" w:w="2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fonte, seção, data_vigência, versão, área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— Tabela SLA/Frete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Linha + cabeçalho injetado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300–500 por linha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0% (linhas são atômicas)</w:t>
            </w:r>
          </w:p>
        </w:tc>
        <w:tc>
          <w:tcPr>
            <w:tcW w:type="dxa" w:w="2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nome_tabela, data_vigência, tipo_tabela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— Imagem/Fluxograma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Descrição gerada por Vision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200–400 (descrição)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tipo=visual, página, doc_origem, data_vigência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— Escaneado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Fixo pós-OCR com overlap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400–500 pós-OCR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2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qualidade_ocr, doc_origem, data_vigência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Wiki Confluence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 heading com links inline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400–600 por seção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2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página_id, área, última_edição, links_resolvidos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Planilha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Grupo de faixa materializado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500–700 por grupo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5%</w:t>
            </w:r>
          </w:p>
        </w:tc>
        <w:tc>
          <w:tcPr>
            <w:tcW w:type="dxa" w:w="2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planilha_nome, versão, data_atualização, aba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Arquitetura Técnica Recomendada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arquitetura proposta é deliberadamente aderente ao ecossistema Microsoft já contratado pela NovaTech (M365 E3 + Azure AI Services), minimizando novos fornecedores e custos de licenciamento.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Stack de Componentes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Recomendada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Ingestão — PDFs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Extração + OCR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AI Document Intelligence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Suporte a tabelas, fluxogramas, OCR multi-idioma. Já no Azure AI Services contratado.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Ingestão — Wiki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Exportação estruturada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Confluence REST API v2 (storage format)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Acesso programático a macros e metadados de página.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Ingestão — Planilhas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Leitura de valores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+ openpyxl + pandas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Leitura de valores computados, materialização de tuplas.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Chunking + Pipeline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Orquestração de ingestão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LlamaIndex ou LangChain (DocumentProcessors)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Frameworks maduros com suporte a parent-child chunking e pipeline de metadados.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Geração de vetores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text-embedding-3-large (OpenAI via Azure OpenAI)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Melhor custo-benefício para pt-BR em avaliações independentes.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Banco Vetorial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Armazenamento e busca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AI Search (com vector search habilitado)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Integração nativa com M365, suporte a filtros por metadados, SLA Azure.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Re-ranking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Seleção de chunks finais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Cohere Rerank API ou bge-reranker-v2-m3 local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Melhoria de 15–30% em precisão. Custo Cohere: ~$0,001/query.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Geração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de resposta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GPT-4o via Azure OpenAI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Janela de 128K tokens, desempenho em pt-BR, compliance no Azure.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do atendente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Teams App (Tab/Bot)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Integração nativa ao ambiente M365 E3 da NovaTech. Zero adoção adicional.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Atualização incremental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 de re-ingestão</w:t>
            </w:r>
          </w:p>
        </w:tc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Graph API + Azure Function (webhook)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Detecta alterações no SharePoint e Confluence e dispara pipeline.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Fluxo de Query (Runtime)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Atendente digita pergunta no Teams Bot do assistente.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injeta contexto do chamado (tipo de cliente, região, modal) como metadados de filtro.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Query é transformada em embedding (text-embedding-3-large).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Azure AI Search retorna top-50 a 100 chunks candidatos (dense retrieval + filtro por metadados).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Cross-encoder re-ranker reordena e seleciona top-10 a 20 chunks.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verifica conflitos entre chunks recuperados (mesmo tópico, fontes diferentes, valores divergentes).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 é montado com estratégia sandwich: chunks de maior score no início, complementares no meio, segundo grupo de alta relevância antes da pergunta.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GPT-4o gera resposta com citação de fonte (nome do documento, seção ou página).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Interface exibe resposta com links para os documentos originais no SharePoint/Confluence.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Atendente pode avaliar a resposta (thumbs up/down), alimentando sistema de melhoria contínua.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Análise de Riscos e Mitigações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0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Documentos conflitantes geram respostas incorretas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Detecção de conflito pré-resposta + sinalização explícita ao atendente + processo de governança documental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Qualidade de OCR degradada em documentos escaneados antigos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de pré-processamento de imagem + metadado de qualidade_ocr + fallback para indicar documento original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Macros customizados do Confluence suprimem informações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Parser específico via storage format API + inventário de macros antes do desenvolvimento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Tabelas complexas (15+ colunas) geram chunks de baixa qualidade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específico com pdfplumber + representação Markdown + validação manual de 10% da amostra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Re-ingestão mensal falha e chunks desatualizados são servidos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Monitoramento de pipeline + alertas + metadado data_vigência visível na resposta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Adoção baixa pelos atendentes por desconfiança nas respostas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Citação de fonte em toda resposta + UX com link para documento original + treinamento guiado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Latência de resposta acima do aceitável (&gt; 5s)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 de queries frequentes + re-ranking local (bge) como alternativa ao Cohere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Estimativa de Cronograma — 3 Meses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6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 Principais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 — Discovery e Ingestão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Semanas 1–4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Inventário de documentos, amostragem de qualidade (OCR, tabelas, macros), definição de metadados, desenvolvimento dos parsers específicos por tipo de fonte, pipeline de ingestão, carga inicial no banco vetorial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de ingestão funcional, base vetorial inicial, relatório de qualidade de extração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 — RAG Core e Avaliação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Semanas 5–8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Implementação de chunking hierárquico, re-ranking, estratégia de posicionamento de prompt, detecção de conflitos, avaliação de qualidade com dataset de perguntas reais dos atendentes (Ground Truth de 100+ pares)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 funcional com métricas de avaliação (Recall@10, MRR, Faithfulness, Answer Relevance)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3 — Integração e Go-live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Semanas 9–12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Integração com Microsoft Teams, pipeline de re-ingestão automática (Graph API), UX de citação de fonte, treinamento dos atendentes, monitoramento de qualidade em produção, ajuste fino de parâmetros k e threshold</w:t>
            </w:r>
          </w:p>
        </w:tc>
        <w:tc>
          <w:tcPr>
            <w:tcW w:type="dxa" w:w="2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Assistente em produção no Teams, dashboard de monitoramento, documentação de operação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Conclusão e Recomendação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construção de um assistente RAG para a NovaTech é tecnicamente viável dentro do orçamento e do prazo propostos. A infraestrutura Azure já contratada cobre todos os componentes críticos. O volume de dados (~14.700 chunks estimados) é gerenciável com as tecnologias recomendadas e os custos operacionais mensais são baixos (estimativa de $50 a $150/mês em API calls e infraestrutura, dependendo do volume de queries).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meta de reduzir o tempo de busca de 12 para menos de 2 minutos por chamado é realista, com potencial para tempos de resposta abaixo de 30 segundos para perguntas bem formuladas em documentos de boa qualidade.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Contudo, a viabilidade está condicionada a quatro pré-condições não-negociáveis que devem ser garantidas antes ou durante o desenvolvimento: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Amostragem de qualidade dos documentos-fonte antes do início do desenvolvimento: um inventário de 10% dos documentos de cada tipo é necessário para validar as estimativas de OCR, qualidade de tabelas e macros Confluence antes de comprometer o cronograma.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Processo de governança documental como pré-requisito para go-live: o sistema pode ser lançado com sinalização de conflito, mas a qualidade de longo prazo exige que as três áreas (Operações, Compliance, Comercial) definam um processo de revisão unificada com versionamento explícito.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Dataset de avaliação construído com a equipe de atendimento: 100 a 200 pares (pergunta, resposta esperada com fonte) coletados dos chamados reais são indispensáveis para medir qualidade objetivamente e guiar ajustes de chunking e retrieval na Fase 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Comprometimento com re-ingestão mensal automatizada: a janela de contexto mais bem gerenciada não compensa informação desatualizada. O pipeline de atualização não é opcional — é parte do produto.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Recomendação Final da Equipe de Engenharia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Aprovamos a viabilidade técnica do projeto com os condicionantes acima. Recomendamos iniciar a Fase 1 com um spike técnico de uma semana focado em (a) extração de 50 PDFs-amostra com tabelas complexas e (b) exportação de 20 páginas-amostra do Confluence via API para validação dos parsers. Esse spike reduz o principal risco técnico do projeto antes de comprometer o orçamento integral das 12 semanas.</w:t>
            </w:r>
          </w:p>
        </w:tc>
      </w:tr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D6E8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arquitetura proposta é conservadora, aderente ao ecossistema Microsoft da NovaTech e baseada em componentes com maturidade comprovada. Não há dependências de tecnologias experimentais no caminho crítico.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A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Apêndice — Glossário Técnico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 (Retrieval-Augmented Generation)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Arquitetura que combina um banco de documentos indexados com uma LLM: o sistema recupera documentos relevantes e os passa como contexto para a LLM gerar a resposta, fundamentada em dados reais.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Chunk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Fragmento de texto de tamanho controlado em que os documentos são divididos antes de serem indexados no banco vetorial. O tamanho e a delimitação do chunk são determinantes da qualidade do sistema.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Representação numérica vetorial de um texto, que captura seu significado semântico. Textos semanticamente similares têm vetores próximos no espaço multidimensional.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Cross-encoder Re-ranking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Técnica de re-ordenação de resultados de busca que processa o par (pergunta, chunk) simultaneamente para gerar um score de relevância mais preciso que os embeddings isolados.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Lost in the Middle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Fenômeno observado em LLMs onde informações posicionadas no meio de janelas de contexto longas recebem menos peso atencional do que informações no início ou fim do contexto.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Parent-Child Chunking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Estratégia de chunking hierárquico onde chunks pequenos (filhos) são usados no retrieval para precisão, e chunks maiores (pais) são passados para a LLM para contexto de geração.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Dense Retrieval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Recuperação de documentos por similaridade semântica de embeddings vetoriais, em contraste com BM25 que usa correspondência de termos (sparse retrieval).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MRR (Mean Reciprocal Rank)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Métrica de avaliação de retrieval: média do inverso da posição do primeiro resultado relevante. MRR@10 de 0,80 significa que, em média, o primeiro chunk relevante está na posição 1,25.</w:t>
            </w:r>
          </w:p>
        </w:tc>
      </w:tr>
    </w:tbl>
    <w:p>
      <w:pPr>
        <w:spacing w:after="0" w:before="16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8" w:sz="4" w:space="1"/>
      </w:pBdr>
      <w:spacing w:before="80"/>
      <w:jc w:val="center"/>
    </w:pPr>
    <w:r>
      <w:rPr>
        <w:rFonts w:ascii="Arial" w:cs="Arial" w:eastAsia="Arial" w:hAnsi="Arial"/>
        <w:color w:val="5A5A5A"/>
        <w:sz w:val="16"/>
        <w:szCs w:val="16"/>
      </w:rPr>
      <w:t xml:space="preserve">DB1 Technology — Estudo de Viabilidade RAG — NovaTech Logística — Confidencial  |  Pág.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2026-06-02T12:21:03.184Z</dcterms:created>
  <dcterms:modified xsi:type="dcterms:W3CDTF">2026-06-02T12:21:03.184Z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