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before="0" w:after="80"/>
      </w:pPr>
      <w:r>
        <w:rPr>
          <w:rFonts w:ascii="Calibri" w:hAnsi="Calibri"/>
          <w:b/>
          <w:color w:val="000000"/>
          <w:sz w:val="46"/>
        </w:rPr>
        <w:t>RELATÓRIO SEMANAL</w:t>
      </w:r>
    </w:p>
    <w:p>
      <w:pPr>
        <w:pStyle w:val="ReportSubtitle"/>
      </w:pPr>
      <w:r>
        <w:rPr>
          <w:rFonts w:ascii="Calibri" w:hAnsi="Calibri"/>
          <w:color w:val="555555"/>
          <w:sz w:val="28"/>
        </w:rPr>
        <w:t>Desenvolvimento do SenhaHub</w:t>
      </w:r>
    </w:p>
    <w:p>
      <w:pPr>
        <w:spacing w:after="40" w:line="240" w:lineRule="auto"/>
      </w:pPr>
      <w:r>
        <w:rPr>
          <w:rFonts w:ascii="Calibri" w:hAnsi="Calibri"/>
          <w:b/>
          <w:color w:val="000000"/>
          <w:sz w:val="22"/>
        </w:rPr>
        <w:t xml:space="preserve">Projeto: </w:t>
      </w:r>
      <w:r>
        <w:rPr>
          <w:rFonts w:ascii="Calibri" w:hAnsi="Calibri"/>
          <w:color w:val="000000"/>
          <w:sz w:val="22"/>
        </w:rPr>
        <w:t>SenhaHub — Supermercado Pompeia</w:t>
      </w:r>
    </w:p>
    <w:p>
      <w:pPr>
        <w:spacing w:after="40" w:line="240" w:lineRule="auto"/>
      </w:pPr>
      <w:r>
        <w:rPr>
          <w:rFonts w:ascii="Calibri" w:hAnsi="Calibri"/>
          <w:b/>
          <w:color w:val="000000"/>
          <w:sz w:val="22"/>
        </w:rPr>
        <w:t xml:space="preserve">Período de referência: </w:t>
      </w:r>
      <w:r>
        <w:rPr>
          <w:rFonts w:ascii="Calibri" w:hAnsi="Calibri"/>
          <w:color w:val="000000"/>
          <w:sz w:val="22"/>
        </w:rPr>
        <w:t>25 a 31 de agosto de 2026</w:t>
      </w:r>
    </w:p>
    <w:p>
      <w:pPr>
        <w:spacing w:after="40" w:line="240" w:lineRule="auto"/>
      </w:pPr>
      <w:r>
        <w:rPr>
          <w:rFonts w:ascii="Calibri" w:hAnsi="Calibri"/>
          <w:b/>
          <w:color w:val="000000"/>
          <w:sz w:val="22"/>
        </w:rPr>
        <w:t xml:space="preserve">Data de elaboração: </w:t>
      </w:r>
      <w:r>
        <w:rPr>
          <w:rFonts w:ascii="Calibri" w:hAnsi="Calibri"/>
          <w:color w:val="000000"/>
          <w:sz w:val="22"/>
        </w:rPr>
        <w:t>1º de setembro de 2026</w:t>
      </w:r>
    </w:p>
    <w:p>
      <w:pPr>
        <w:spacing w:after="40" w:line="240" w:lineRule="auto"/>
      </w:pPr>
      <w:r>
        <w:rPr>
          <w:rFonts w:ascii="Calibri" w:hAnsi="Calibri"/>
          <w:b/>
          <w:color w:val="000000"/>
          <w:sz w:val="22"/>
        </w:rPr>
        <w:t xml:space="preserve">Fonte: </w:t>
      </w:r>
      <w:r>
        <w:rPr>
          <w:rFonts w:ascii="Calibri" w:hAnsi="Calibri"/>
          <w:color w:val="000000"/>
          <w:sz w:val="22"/>
        </w:rPr>
        <w:t>Estado atual do repositório local, histórico Git e documentação técnica</w:t>
      </w:r>
    </w:p>
    <w:p>
      <w:pPr>
        <w:spacing w:after="40" w:line="240" w:lineRule="auto"/>
      </w:pPr>
      <w:r>
        <w:rPr>
          <w:rFonts w:ascii="Calibri" w:hAnsi="Calibri"/>
          <w:b/>
          <w:color w:val="000000"/>
          <w:sz w:val="22"/>
        </w:rPr>
        <w:t xml:space="preserve">Status do código: </w:t>
      </w:r>
      <w:r>
        <w:rPr>
          <w:rFonts w:ascii="Calibri" w:hAnsi="Calibri"/>
          <w:color w:val="000000"/>
          <w:sz w:val="22"/>
        </w:rPr>
        <w:t>Alterações locais ainda não commitadas</w:t>
      </w:r>
    </w:p>
    <w:p>
      <w:pPr>
        <w:spacing w:before="200" w:after="240"/>
        <w:pBdr>
          <w:bottom w:val="single" w:sz="10" w:space="1" w:color="B7C7D9"/>
        </w:pBdr>
      </w:pPr>
    </w:p>
    <w:p>
      <w:pPr>
        <w:spacing w:before="40" w:after="240" w:line="264" w:lineRule="auto"/>
        <w:ind w:left="173" w:right="173"/>
        <w:shd w:fill="F4F6F9" w:val="clear"/>
      </w:pPr>
      <w:r>
        <w:rPr>
          <w:rFonts w:ascii="Calibri" w:hAnsi="Calibri"/>
          <w:b/>
          <w:color w:val="0B2545"/>
          <w:sz w:val="22"/>
        </w:rPr>
        <w:t xml:space="preserve">Resumo executivo. </w:t>
      </w:r>
      <w:r>
        <w:rPr>
          <w:rFonts w:ascii="Calibri" w:hAnsi="Calibri"/>
          <w:color w:val="000000"/>
          <w:sz w:val="22"/>
        </w:rPr>
        <w:t>O foco da semana foi reforçar a operação física do SenhaHub: modularização do backend, evolução do fluxo de impressão do totem, criação da ponte Bluetooth para a impressora do tablet do Açougue da Loja 2, sinais Realtime com fallback e melhorias de clareza nas telas de acompanhamento e TV.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1. Visão geral das entregas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6" w:space="0" w:color="D9E0E8"/>
          <w:insideV w:val="single" w:sz="6" w:space="0" w:color="D9E0E8"/>
        </w:tblBorders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Frente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O que foi desenvolvido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Resultado observado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Backend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Reorganização modular do servidor e novas rotas locais.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Código separado por domínio e API preparada para a operação local.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Impressão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Fila física, Realtime, heartbeat e impressora Bluetooth dos tablets.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Totem e tablets passam a ter fluxos de impressão dedicados e protegidos.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Experiência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Feedback do QR Code, acompanhamento, tablet e TV do Açougue.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Fluxos mais claros para cliente, atendente e operação da loja.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Qualidade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Documentação, configuração de ambiente e testes direcionados.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Sintaxe validada e 30 testes direcionados aprovados.</w:t>
            </w:r>
          </w:p>
        </w:tc>
      </w:tr>
    </w:tbl>
    <w:p>
      <w:pPr>
        <w:pStyle w:val="TableCitation"/>
      </w:pPr>
      <w:r>
        <w:t>Síntese baseada nas alterações locais identificadas no projeto.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2. Entregas de desenvolvimento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2.1 Reorganização da arquitetura do backend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>O servidor foi reorganizado de uma estrutura concentrada em arquivos na pasta server/ para uma divisão por responsabilidades. A nova organização agrupa autenticação, dados locais, integrações externas, quiosques e impressão, notificações e componentes de plataforma.</w:t>
      </w:r>
    </w:p>
    <w:p>
      <w:pPr>
        <w:spacing w:after="12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Autenticação e políticas de senha foram concentradas em server/auth.</w:t>
      </w:r>
    </w:p>
    <w:p>
      <w:pPr>
        <w:spacing w:after="12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Acesso ao PostgreSQL local, repositório e compatibilidade legada foram separados em server/data.</w:t>
      </w:r>
    </w:p>
    <w:p>
      <w:pPr>
        <w:spacing w:after="12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Sessões de totem, fila de impressão e recibos ESC/POS passaram para server/kiosk.</w:t>
      </w:r>
    </w:p>
    <w:p>
      <w:pPr>
        <w:spacing w:after="12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Observabilidade, prontidão de produção e helpers de rota passaram para server/platform.</w:t>
      </w:r>
    </w:p>
    <w:p>
      <w:pPr>
        <w:spacing w:after="12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Integrações de clima, vídeo e runtime Supabase foram isoladas em server/integrations.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>As rotas da aplicação, os aliases HTTP e os testes foram atualizados para usar essa nova estrutura. O objetivo prático é reduzir acoplamento e facilitar a manutenção das diferentes modalidades de operação do SenhaHub.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2.2 Impressão física e operação dos tablets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>Foi desenvolvido o fluxo específico para a impressora Bluetooth POS-5890A-L, ligada ao tablet que ficará próximo ao Açougue da Loja 2.</w:t>
      </w:r>
    </w:p>
    <w:p>
      <w:pPr>
        <w:spacing w:after="12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Foi criada a fila dedicada tablet-pompeia-01, restrita ao setor acougue-loja-2 e à loja-2, com papel de 58 mm.</w:t>
      </w:r>
    </w:p>
    <w:p>
      <w:pPr>
        <w:spacing w:after="12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A emissão pelo tablet passou a criar um trabalho de impressão e a devolver o printJob para acompanhamento do cliente.</w:t>
      </w:r>
    </w:p>
    <w:p>
      <w:pPr>
        <w:spacing w:after="12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Foram adicionadas rotas para consultar o trabalho do tablet, atualizar o heartbeat do agente e obter a configuração pública do Realtime.</w:t>
      </w:r>
    </w:p>
    <w:p>
      <w:pPr>
        <w:spacing w:after="12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O agente Node.js passou a drenar trabalhos pendentes, aplicar tentativas com espera progressiva e manter registro local para evitar reimpressões.</w:t>
      </w:r>
    </w:p>
    <w:p>
      <w:pPr>
        <w:spacing w:after="12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O agente passou a receber um sinal Realtime quando há novo trabalho, mantendo polling de fallback a cada 30 segundos e heartbeat padrão a cada 60 segundos.</w:t>
      </w:r>
    </w:p>
    <w:p>
      <w:pPr>
        <w:spacing w:after="12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Foi criado o módulo Android que lista impressoras pareadas, solicita permissões Bluetooth, mantém um serviço em primeiro plano e envia ESC/POS pela conexão Bluetooth clássica/RFCOMM.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2.3 Melhorias de experiência e telas operacionais</w:t>
      </w:r>
    </w:p>
    <w:p>
      <w:pPr>
        <w:spacing w:after="12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A tela de acompanhamento de senha ganhou estados explícitos para QR Code inválido, expirado, já utilizado e erro de comunicação, além de botão de nova tentativa e retorno automático ao início.</w:t>
      </w:r>
    </w:p>
    <w:p>
      <w:pPr>
        <w:spacing w:after="12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A leitura bem-sucedida do QR Code passou a exibir uma confirmação temporária, e o fluxo foi ajustado para leitores de tela e foco de teclado.</w:t>
      </w:r>
    </w:p>
    <w:p>
      <w:pPr>
        <w:spacing w:after="12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O tablet passou a apresentar o resultado da emissão junto com o status do trabalho de impressão.</w:t>
      </w:r>
    </w:p>
    <w:p>
      <w:pPr>
        <w:spacing w:after="12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A TV do Açougue foi ajustada para consultar clima e vídeos por rotas do próprio sistema, com suporte a fonte de vídeo resolvida pelo backend e reprodução automática.</w:t>
      </w:r>
    </w:p>
    <w:p>
      <w:pPr>
        <w:spacing w:after="12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A folha de estilos recebeu ajustes de hierarquia visual, tamanhos e estados de feedback para as telas de acompanhamento e TV.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2.4 Segurança, configuração e documentação</w:t>
      </w:r>
    </w:p>
    <w:p>
      <w:pPr>
        <w:spacing w:after="12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Foram separados tokens de autenticação para o totem e para a impressora Bluetooth do tablet, com validação por kioskId.</w:t>
      </w:r>
    </w:p>
    <w:p>
      <w:pPr>
        <w:spacing w:after="12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A configuração do agente Realtime pode ser descoberta por rota protegida, sem colocar a chave de serviço do Supabase no tablet ou no computador da impressora.</w:t>
      </w:r>
    </w:p>
    <w:p>
      <w:pPr>
        <w:spacing w:after="12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O Content Security Policy foi ajustado para retirar a dependência direta do clima externo e restringir as origens de mídia necessárias para a TV.</w:t>
      </w:r>
    </w:p>
    <w:p>
      <w:pPr>
        <w:spacing w:after="12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Os guias de impressão, agente Windows, infraestrutura e ambiente foram atualizados, incluindo as variáveis da impressora do tablet e da nova migration Realtime.</w:t>
      </w:r>
    </w:p>
    <w:p>
      <w:pPr>
        <w:spacing w:after="12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A dependência @supabase/supabase-js foi incorporada para suportar o canal Realtime do agente.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3. Validação realizada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>As validações abaixo foram executadas sobre o estado atual do projeto: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6" w:space="0" w:color="D9E0E8"/>
          <w:insideV w:val="single" w:sz="6" w:space="0" w:color="D9E0E8"/>
        </w:tblBorders>
      </w:tblPr>
      <w:tblGrid>
        <w:gridCol w:w="2500"/>
        <w:gridCol w:w="1700"/>
        <w:gridCol w:w="51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Verificação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Resultado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Leitura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Checagem de sintaxe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Aprovada</w:t>
            </w:r>
          </w:p>
        </w:tc>
        <w:tc>
          <w:tcPr>
            <w:tcW w:type="dxa" w:w="516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 comando de verificação do projeto terminou sem erro.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Testes direcionados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30/30</w:t>
            </w:r>
          </w:p>
        </w:tc>
        <w:tc>
          <w:tcPr>
            <w:tcW w:type="dxa" w:w="516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Observabilidade, política de senha, impressão, agente e prontidão de produção passaram.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Suíte completa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30/73</w:t>
            </w:r>
          </w:p>
        </w:tc>
        <w:tc>
          <w:tcPr>
            <w:tcW w:type="dxa" w:w="516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43 testes não chegaram a executar por falha na inicialização dos servidores de teste; é necessária uma rodada de correção do ambiente de testes.</w:t>
            </w:r>
          </w:p>
        </w:tc>
      </w:tr>
    </w:tbl>
    <w:p>
      <w:pPr>
        <w:pStyle w:val="TableCitation"/>
      </w:pPr>
      <w:r>
        <w:t>A falha da suíte completa indica problema na inicialização dos servidores de teste, não uma reprovação funcional individual de cada caso.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4. Pontos para continuidade</w:t>
      </w:r>
    </w:p>
    <w:p>
      <w:pPr>
        <w:spacing w:after="12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Consolidar as alterações locais em commits separados por frente — arquitetura, impressão, Android e interface — para facilitar revisão e rastreabilidade.</w:t>
      </w:r>
    </w:p>
    <w:p>
      <w:pPr>
        <w:spacing w:after="12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Corrigir a inicialização dos servidores usados pelos testes de orquestração e PWA antes de considerar a suíte completa verde.</w:t>
      </w:r>
    </w:p>
    <w:p>
      <w:pPr>
        <w:spacing w:after="12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Aplicar e conferir a migration 20260823130843_print_job_realtime_signal.sql no ambiente alvo.</w:t>
      </w:r>
    </w:p>
    <w:p>
      <w:pPr>
        <w:spacing w:after="12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Gerar o APK do agente Android e realizar teste físico com a POS-5890A-L, incluindo perda de rede, reinício do tablet e confirmação de não reimpressão.</w:t>
      </w:r>
    </w:p>
    <w:p>
      <w:pPr>
        <w:spacing w:after="12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Validar em loja o tablet, os tokens exclusivos e o heartbeat do agente.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5. Conclusão</w:t>
      </w:r>
    </w:p>
    <w:p>
      <w:pPr>
        <w:spacing w:after="120"/>
      </w:pPr>
      <w:r>
        <w:rPr>
          <w:rFonts w:ascii="Calibri" w:hAnsi="Calibri"/>
          <w:color w:val="000000"/>
          <w:sz w:val="22"/>
        </w:rPr>
        <w:t>O desenvolvimento avançou principalmente na preparação do SenhaHub para uma operação física mais completa e resiliente. A parte mais relevante foi a integração da impressão dedicada do tablet com segurança, fila e agente Android, acompanhada pela modularização do backend e por melhorias de feedback ao cliente. O código apresenta validações direcionadas positivas, mas ainda requer a regularização do ambiente de testes e a validação física da impressora antes de ser tratado como concluído em produção.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Anexo — principais evidências no projeto</w:t>
      </w:r>
    </w:p>
    <w:p>
      <w:pPr>
        <w:spacing w:after="12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server/server.js e os módulos em server/auth, server/data, server/integrations, server/kiosk, server/notifications e server/platform.</w:t>
      </w:r>
    </w:p>
    <w:p>
      <w:pPr>
        <w:spacing w:after="12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scripts/print-agent.js, scripts/print-agent/runtime.js e scripts/print-agent/realtime.js.</w:t>
      </w:r>
    </w:p>
    <w:p>
      <w:pPr>
        <w:spacing w:after="12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android/print-agent, com a tela de configuração e o serviço Bluetooth da impressora.</w:t>
      </w:r>
    </w:p>
    <w:p>
      <w:pPr>
        <w:spacing w:after="12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app/api/local-postgres/print, app/api/local-postgres/tablet e supabase/migrations/20260823130843_print_job_realtime_signal.sql.</w:t>
      </w:r>
    </w:p>
    <w:p>
      <w:pPr>
        <w:spacing w:after="120" w:line="280" w:lineRule="auto"/>
        <w:ind w:left="720" w:hanging="360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public/acompanhar.html, public/acompanhar.js, public/tv-acougue.js, public/tablet.js e public/styles.css.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55555"/>
        <w:sz w:val="18"/>
      </w:rPr>
      <w:t xml:space="preserve">Página </w:t>
    </w:r>
    <w:r>
      <w:rPr>
        <w:rFonts w:ascii="Calibri" w:hAnsi="Calibri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55555"/>
        <w:sz w:val="18"/>
      </w:rPr>
      <w:t>SenhaHub  |  Relatório semanal de desenvolvimento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Subtitle">
    <w:name w:val="Report Subtitle"/>
    <w:pPr>
      <w:spacing w:after="320"/>
    </w:pPr>
    <w:rPr>
      <w:rFonts w:ascii="Calibri" w:hAnsi="Calibri"/>
      <w:color w:val="555555"/>
      <w:sz w:val="28"/>
    </w:rPr>
  </w:style>
  <w:style w:type="paragraph" w:customStyle="1" w:styleId="TableCitation">
    <w:name w:val="Table Citation"/>
    <w:pPr>
      <w:spacing w:before="80" w:after="80"/>
    </w:pPr>
    <w:rPr>
      <w:rFonts w:ascii="Calibri" w:hAnsi="Calibri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