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4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da postagem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92968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DATETIMEOFFSET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postagem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.3359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de 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pessoal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único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única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765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única de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EVLlax9CM1iKFtdpHb8rpaRh3A==">CgMxLjA4AHIhMUZJWEZlUVpCeVBCcVlpQUlQbktFQWZ1dFJsUHRCZDFz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