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95"/>
        <w:gridCol w:w="6350"/>
      </w:tblGrid>
      <w:tr>
        <w:tc>
          <w:tcPr>
            <w:tcW w:type="dxa" w:w="5273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980000" cy="603179"/>
                  <wp:docPr id="1" name="Picture 1" descr="Logotipo UniPress Instrumentaçã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UNI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6031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3"/>
            <w:tcMar>
              <w:top w:w="40" w:type="dxa"/>
              <w:start w:w="0" w:type="dxa"/>
              <w:bottom w:w="0" w:type="dxa"/>
              <w:end w:w="0" w:type="dxa"/>
            </w:tcMar>
          </w:tcPr>
          <w:p>
            <w:pPr>
              <w:keepNext w:val="0"/>
              <w:spacing w:before="0" w:after="20" w:line="240" w:lineRule="auto"/>
              <w:jc w:val="right"/>
            </w:pPr>
            <w:r>
              <w:rPr>
                <w:rFonts w:ascii="Arial" w:hAnsi="Arial"/>
                <w:b/>
                <w:color w:val="E30613"/>
                <w:sz w:val="14"/>
              </w:rPr>
              <w:t>INSTRUMENTAÇÃO INDUSTRIAL</w:t>
            </w:r>
          </w:p>
          <w:p>
            <w:pPr>
              <w:keepNext w:val="0"/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color w:val="181818"/>
                <w:sz w:val="18"/>
              </w:rPr>
              <w:t>SÉRIE UNI-ILE  |  100 MM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803"/>
        <w:gridCol w:w="3515"/>
      </w:tblGrid>
      <w:tr>
        <w:tc>
          <w:tcPr>
            <w:tcW w:type="dxa" w:w="6803"/>
            <w:vAlign w:val="center"/>
            <w:shd w:fill="181818"/>
            <w:tcMar>
              <w:top w:w="130" w:type="dxa"/>
              <w:start w:w="19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29"/>
              </w:rPr>
              <w:t>MANÔMETRO INDUSTRIAL</w:t>
              <w:br/>
            </w:r>
            <w:r>
              <w:rPr>
                <w:rFonts w:ascii="Arial" w:hAnsi="Arial"/>
                <w:b/>
                <w:color w:val="FFFFFF"/>
                <w:sz w:val="21"/>
              </w:rPr>
              <w:t>COM TUBO BOURDON</w:t>
            </w:r>
          </w:p>
        </w:tc>
        <w:tc>
          <w:tcPr>
            <w:tcW w:type="dxa" w:w="3515"/>
            <w:vAlign w:val="center"/>
            <w:shd w:fill="D7D9D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1818"/>
                <w:sz w:val="14"/>
              </w:rPr>
              <w:t>MODELO</w:t>
              <w:br/>
            </w:r>
            <w:r>
              <w:rPr>
                <w:rFonts w:ascii="Arial" w:hAnsi="Arial"/>
                <w:b/>
                <w:color w:val="E30613"/>
                <w:sz w:val="28"/>
              </w:rPr>
              <w:t>UNI-ILE-V-100</w:t>
            </w:r>
          </w:p>
        </w:tc>
      </w:tr>
    </w:tbl>
    <w:p>
      <w:pPr>
        <w:spacing w:before="60" w:after="80"/>
        <w:jc w:val="center"/>
      </w:pPr>
      <w:r>
        <w:rPr>
          <w:rFonts w:ascii="Arial" w:hAnsi="Arial"/>
          <w:b w:val="0"/>
          <w:color w:val="4A4A4A"/>
          <w:sz w:val="16"/>
        </w:rPr>
        <w:t>Mostrador de 100 mm para medição de pressão, vácuo e pressão composta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082"/>
        <w:gridCol w:w="6463"/>
      </w:tblGrid>
      <w:tr>
        <w:tc>
          <w:tcPr>
            <w:tcW w:type="dxa" w:w="5273"/>
            <w:tcMar>
              <w:top w:w="30" w:type="dxa"/>
              <w:start w:w="20" w:type="dxa"/>
              <w:bottom w:w="2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78200" cy="2448000"/>
                  <wp:docPr id="2" name="Picture 2" descr="Manômetro UniPress de 100 mm com conexão inferi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N 100 mm sem fund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8200" cy="24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4A4A4A"/>
                <w:sz w:val="12"/>
              </w:rPr>
              <w:t>Imagem ilustrativa</w:t>
            </w:r>
          </w:p>
        </w:tc>
        <w:tc>
          <w:tcPr>
            <w:tcW w:type="dxa" w:w="5273"/>
            <w:tcMar>
              <w:top w:w="120" w:type="dxa"/>
              <w:start w:w="210" w:type="dxa"/>
              <w:bottom w:w="70" w:type="dxa"/>
              <w:end w:w="170" w:type="dxa"/>
            </w:tcMar>
            <w:shd w:fill="F3F4F5"/>
            <w:vAlign w:val="center"/>
          </w:tcPr>
          <w:p>
            <w:pPr>
              <w:keepNext w:val="0"/>
              <w:spacing w:before="0" w:after="80" w:line="252" w:lineRule="auto"/>
            </w:pPr>
            <w:r>
              <w:rPr>
                <w:rFonts w:ascii="Arial" w:hAnsi="Arial"/>
                <w:b/>
                <w:color w:val="E30613"/>
                <w:sz w:val="18"/>
              </w:rPr>
              <w:t>ROBUSTEZ E FLEXIBILIDADE</w:t>
            </w:r>
          </w:p>
          <w:p>
            <w:pPr>
              <w:keepNext w:val="0"/>
              <w:spacing w:before="0" w:after="80" w:line="252" w:lineRule="auto"/>
            </w:pPr>
            <w:r>
              <w:rPr>
                <w:rFonts w:ascii="Arial" w:hAnsi="Arial"/>
                <w:b w:val="0"/>
                <w:color w:val="151515"/>
                <w:sz w:val="16"/>
              </w:rPr>
              <w:t>Instrumento analógico para aplicações industriais, com caixa em aço inox e elemento sensor em latão. Configurável para diferentes escalas, unidades e classes de precisão.</w:t>
            </w:r>
          </w:p>
          <w:p>
            <w:pPr>
              <w:keepNext w:val="0"/>
              <w:spacing w:before="0" w:after="20" w:line="240" w:lineRule="auto"/>
            </w:pPr>
            <w:r>
              <w:rPr>
                <w:rFonts w:ascii="Arial" w:hAnsi="Arial"/>
                <w:b/>
                <w:color w:val="4A4A4A"/>
                <w:sz w:val="15"/>
              </w:rPr>
              <w:t xml:space="preserve">MOSTRADOR  </w:t>
            </w:r>
            <w:r>
              <w:rPr>
                <w:rFonts w:ascii="Arial" w:hAnsi="Arial"/>
                <w:b w:val="0"/>
                <w:color w:val="151515"/>
                <w:sz w:val="15"/>
              </w:rPr>
              <w:t>100 mm de diâmetro</w:t>
            </w:r>
          </w:p>
          <w:p>
            <w:pPr>
              <w:keepNext w:val="0"/>
              <w:spacing w:before="0" w:after="20" w:line="240" w:lineRule="auto"/>
            </w:pPr>
            <w:r>
              <w:rPr>
                <w:rFonts w:ascii="Arial" w:hAnsi="Arial"/>
                <w:b/>
                <w:color w:val="4A4A4A"/>
                <w:sz w:val="15"/>
              </w:rPr>
              <w:t xml:space="preserve">CONEXÃO  </w:t>
            </w:r>
            <w:r>
              <w:rPr>
                <w:rFonts w:ascii="Arial" w:hAnsi="Arial"/>
                <w:b w:val="0"/>
                <w:color w:val="151515"/>
                <w:sz w:val="15"/>
              </w:rPr>
              <w:t>1/2" BSP macho, inferior vertical reta</w:t>
            </w:r>
          </w:p>
          <w:p>
            <w:pPr>
              <w:keepNext w:val="0"/>
              <w:spacing w:before="0" w:after="20" w:line="240" w:lineRule="auto"/>
            </w:pPr>
            <w:r>
              <w:rPr>
                <w:rFonts w:ascii="Arial" w:hAnsi="Arial"/>
                <w:b/>
                <w:color w:val="4A4A4A"/>
                <w:sz w:val="15"/>
              </w:rPr>
              <w:t xml:space="preserve">ANEL  </w:t>
            </w:r>
            <w:r>
              <w:rPr>
                <w:rFonts w:ascii="Arial" w:hAnsi="Arial"/>
                <w:b w:val="0"/>
                <w:color w:val="151515"/>
                <w:sz w:val="15"/>
              </w:rPr>
              <w:t>Lacrado ou baioneta</w:t>
            </w:r>
          </w:p>
          <w:p>
            <w:pPr>
              <w:keepNext w:val="0"/>
              <w:spacing w:before="0" w:after="20" w:line="240" w:lineRule="auto"/>
            </w:pPr>
            <w:r>
              <w:rPr>
                <w:rFonts w:ascii="Arial" w:hAnsi="Arial"/>
                <w:b/>
                <w:color w:val="4A4A4A"/>
                <w:sz w:val="15"/>
              </w:rPr>
              <w:t xml:space="preserve">ENCHIMENTO  </w:t>
            </w:r>
            <w:r>
              <w:rPr>
                <w:rFonts w:ascii="Arial" w:hAnsi="Arial"/>
                <w:b w:val="0"/>
                <w:color w:val="151515"/>
                <w:sz w:val="15"/>
              </w:rPr>
              <w:t>Com ou sem líquido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5"/>
      </w:tblGrid>
      <w:tr>
        <w:trPr>
          <w:cantSplit/>
        </w:trPr>
        <w:tc>
          <w:tcPr>
            <w:tcW w:type="dxa" w:w="10546"/>
            <w:shd w:fill="E30613"/>
            <w:tcMar>
              <w:top w:w="55" w:type="dxa"/>
              <w:start w:w="125" w:type="dxa"/>
              <w:bottom w:w="55" w:type="dxa"/>
              <w:end w:w="12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CONFIGURAÇÃO E MATERIAIS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7824"/>
      </w:tblGrid>
      <w:tr>
        <w:trPr>
          <w:cantSplit/>
        </w:trPr>
        <w:tc>
          <w:tcPr>
            <w:tcW w:type="dxa" w:w="2721"/>
            <w:vAlign w:val="center"/>
            <w:shd w:fill="F3F4F5"/>
            <w:tcMar>
              <w:top w:w="48" w:type="dxa"/>
              <w:start w:w="100" w:type="dxa"/>
              <w:bottom w:w="48" w:type="dxa"/>
              <w:end w:w="90" w:type="dxa"/>
            </w:tcMar>
            <w:tcBorders>
              <w:bottom w:val="single" w:sz="4" w:color="D9D9D9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/>
                <w:color w:val="4A4A4A"/>
                <w:sz w:val="14"/>
              </w:rPr>
              <w:t>Princípio de medição</w:t>
            </w:r>
          </w:p>
        </w:tc>
        <w:tc>
          <w:tcPr>
            <w:tcW w:type="dxa" w:w="7824"/>
            <w:vAlign w:val="center"/>
            <w:tcMar>
              <w:top w:w="48" w:type="dxa"/>
              <w:start w:w="100" w:type="dxa"/>
              <w:bottom w:w="48" w:type="dxa"/>
              <w:end w:w="90" w:type="dxa"/>
            </w:tcMar>
            <w:tcBorders>
              <w:bottom w:val="single" w:sz="4" w:color="D9D9D9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 w:val="0"/>
                <w:color w:val="151515"/>
                <w:sz w:val="14"/>
              </w:rPr>
              <w:t>Manômetro analógico com tubo Bourdon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3F4F5"/>
            <w:tcMar>
              <w:top w:w="48" w:type="dxa"/>
              <w:start w:w="100" w:type="dxa"/>
              <w:bottom w:w="48" w:type="dxa"/>
              <w:end w:w="90" w:type="dxa"/>
            </w:tcMar>
            <w:tcBorders>
              <w:bottom w:val="single" w:sz="4" w:color="D9D9D9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/>
                <w:color w:val="4A4A4A"/>
                <w:sz w:val="14"/>
              </w:rPr>
              <w:t>Caixa e anel</w:t>
            </w:r>
          </w:p>
        </w:tc>
        <w:tc>
          <w:tcPr>
            <w:tcW w:type="dxa" w:w="7824"/>
            <w:vAlign w:val="center"/>
            <w:tcMar>
              <w:top w:w="48" w:type="dxa"/>
              <w:start w:w="100" w:type="dxa"/>
              <w:bottom w:w="48" w:type="dxa"/>
              <w:end w:w="90" w:type="dxa"/>
            </w:tcMar>
            <w:tcBorders>
              <w:bottom w:val="single" w:sz="4" w:color="D9D9D9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 w:val="0"/>
                <w:color w:val="151515"/>
                <w:sz w:val="14"/>
              </w:rPr>
              <w:t>Aço inox AISI 304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3F4F5"/>
            <w:tcMar>
              <w:top w:w="48" w:type="dxa"/>
              <w:start w:w="100" w:type="dxa"/>
              <w:bottom w:w="48" w:type="dxa"/>
              <w:end w:w="90" w:type="dxa"/>
            </w:tcMar>
            <w:tcBorders>
              <w:bottom w:val="single" w:sz="4" w:color="D9D9D9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/>
                <w:color w:val="4A4A4A"/>
                <w:sz w:val="14"/>
              </w:rPr>
              <w:t>Mecanismo e Bourdon</w:t>
            </w:r>
          </w:p>
        </w:tc>
        <w:tc>
          <w:tcPr>
            <w:tcW w:type="dxa" w:w="7824"/>
            <w:vAlign w:val="center"/>
            <w:tcMar>
              <w:top w:w="48" w:type="dxa"/>
              <w:start w:w="100" w:type="dxa"/>
              <w:bottom w:w="48" w:type="dxa"/>
              <w:end w:w="90" w:type="dxa"/>
            </w:tcMar>
            <w:tcBorders>
              <w:bottom w:val="single" w:sz="4" w:color="D9D9D9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 w:val="0"/>
                <w:color w:val="151515"/>
                <w:sz w:val="14"/>
              </w:rPr>
              <w:t>Latão e ligas de cobre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3F4F5"/>
            <w:tcMar>
              <w:top w:w="48" w:type="dxa"/>
              <w:start w:w="100" w:type="dxa"/>
              <w:bottom w:w="48" w:type="dxa"/>
              <w:end w:w="90" w:type="dxa"/>
            </w:tcMar>
            <w:tcBorders>
              <w:bottom w:val="single" w:sz="4" w:color="D9D9D9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/>
                <w:color w:val="4A4A4A"/>
                <w:sz w:val="14"/>
              </w:rPr>
              <w:t>Conexão ao processo</w:t>
            </w:r>
          </w:p>
        </w:tc>
        <w:tc>
          <w:tcPr>
            <w:tcW w:type="dxa" w:w="7824"/>
            <w:vAlign w:val="center"/>
            <w:tcMar>
              <w:top w:w="48" w:type="dxa"/>
              <w:start w:w="100" w:type="dxa"/>
              <w:bottom w:w="48" w:type="dxa"/>
              <w:end w:w="90" w:type="dxa"/>
            </w:tcMar>
            <w:tcBorders>
              <w:bottom w:val="single" w:sz="4" w:color="D9D9D9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 w:val="0"/>
                <w:color w:val="151515"/>
                <w:sz w:val="14"/>
              </w:rPr>
              <w:t>Latão, 1/2" BSP macho, saída inferior vertical reta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3F4F5"/>
            <w:tcMar>
              <w:top w:w="48" w:type="dxa"/>
              <w:start w:w="100" w:type="dxa"/>
              <w:bottom w:w="48" w:type="dxa"/>
              <w:end w:w="90" w:type="dxa"/>
            </w:tcMar>
            <w:tcBorders>
              <w:bottom w:val="single" w:sz="4" w:color="D9D9D9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/>
                <w:color w:val="4A4A4A"/>
                <w:sz w:val="14"/>
              </w:rPr>
              <w:t>Visor e mostrador</w:t>
            </w:r>
          </w:p>
        </w:tc>
        <w:tc>
          <w:tcPr>
            <w:tcW w:type="dxa" w:w="7824"/>
            <w:vAlign w:val="center"/>
            <w:tcMar>
              <w:top w:w="48" w:type="dxa"/>
              <w:start w:w="100" w:type="dxa"/>
              <w:bottom w:w="48" w:type="dxa"/>
              <w:end w:w="90" w:type="dxa"/>
            </w:tcMar>
            <w:tcBorders>
              <w:bottom w:val="single" w:sz="4" w:color="D9D9D9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 w:val="0"/>
                <w:color w:val="151515"/>
                <w:sz w:val="14"/>
              </w:rPr>
              <w:t>Visor plano em policarbonato; mostrador de alumínio com fundo branco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3F4F5"/>
            <w:tcMar>
              <w:top w:w="48" w:type="dxa"/>
              <w:start w:w="100" w:type="dxa"/>
              <w:bottom w:w="48" w:type="dxa"/>
              <w:end w:w="90" w:type="dxa"/>
            </w:tcMar>
            <w:tcBorders>
              <w:bottom w:val="single" w:sz="4" w:color="D9D9D9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/>
                <w:color w:val="4A4A4A"/>
                <w:sz w:val="14"/>
              </w:rPr>
              <w:t>Ponteiro e soldagem</w:t>
            </w:r>
          </w:p>
        </w:tc>
        <w:tc>
          <w:tcPr>
            <w:tcW w:type="dxa" w:w="7824"/>
            <w:vAlign w:val="center"/>
            <w:tcMar>
              <w:top w:w="48" w:type="dxa"/>
              <w:start w:w="100" w:type="dxa"/>
              <w:bottom w:w="48" w:type="dxa"/>
              <w:end w:w="90" w:type="dxa"/>
            </w:tcMar>
            <w:tcBorders>
              <w:bottom w:val="single" w:sz="4" w:color="D9D9D9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 w:val="0"/>
                <w:color w:val="151515"/>
                <w:sz w:val="14"/>
              </w:rPr>
              <w:t>Ponteiro de alumínio balanceado, sem ajuste; solda de estanho no Bourdon em latão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3F4F5"/>
            <w:tcMar>
              <w:top w:w="48" w:type="dxa"/>
              <w:start w:w="100" w:type="dxa"/>
              <w:bottom w:w="48" w:type="dxa"/>
              <w:end w:w="90" w:type="dxa"/>
            </w:tcMar>
            <w:tcBorders>
              <w:bottom w:val="single" w:sz="4" w:color="D9D9D9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/>
                <w:color w:val="4A4A4A"/>
                <w:sz w:val="14"/>
              </w:rPr>
              <w:t>Tipo de fechamento</w:t>
            </w:r>
          </w:p>
        </w:tc>
        <w:tc>
          <w:tcPr>
            <w:tcW w:type="dxa" w:w="7824"/>
            <w:vAlign w:val="center"/>
            <w:tcMar>
              <w:top w:w="48" w:type="dxa"/>
              <w:start w:w="100" w:type="dxa"/>
              <w:bottom w:w="48" w:type="dxa"/>
              <w:end w:w="90" w:type="dxa"/>
            </w:tcMar>
            <w:tcBorders>
              <w:bottom w:val="single" w:sz="4" w:color="D9D9D9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 w:val="0"/>
                <w:color w:val="151515"/>
                <w:sz w:val="14"/>
              </w:rPr>
              <w:t>Lacrado ou anel baioneta. A versão baioneta permite abertura e manutenção do equipamento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3F4F5"/>
            <w:tcMar>
              <w:top w:w="48" w:type="dxa"/>
              <w:start w:w="100" w:type="dxa"/>
              <w:bottom w:w="48" w:type="dxa"/>
              <w:end w:w="90" w:type="dxa"/>
            </w:tcMar>
            <w:tcBorders>
              <w:bottom w:val="single" w:sz="4" w:color="D9D9D9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/>
                <w:color w:val="4A4A4A"/>
                <w:sz w:val="14"/>
              </w:rPr>
              <w:t>Líquido de enchimento</w:t>
            </w:r>
          </w:p>
        </w:tc>
        <w:tc>
          <w:tcPr>
            <w:tcW w:type="dxa" w:w="7824"/>
            <w:vAlign w:val="center"/>
            <w:tcMar>
              <w:top w:w="48" w:type="dxa"/>
              <w:start w:w="100" w:type="dxa"/>
              <w:bottom w:w="48" w:type="dxa"/>
              <w:end w:w="90" w:type="dxa"/>
            </w:tcMar>
            <w:tcBorders>
              <w:bottom w:val="single" w:sz="4" w:color="D9D9D9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 w:val="0"/>
                <w:color w:val="151515"/>
                <w:sz w:val="14"/>
              </w:rPr>
              <w:t>Fornecimento com ou sem líquido. Quando preenchido, glicerina bidestilada como padrão; outros líquidos sob consulta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5"/>
      </w:tblGrid>
      <w:tr>
        <w:trPr>
          <w:cantSplit/>
        </w:trPr>
        <w:tc>
          <w:tcPr>
            <w:tcW w:type="dxa" w:w="10546"/>
            <w:shd w:fill="E30613"/>
            <w:tcMar>
              <w:top w:w="55" w:type="dxa"/>
              <w:start w:w="125" w:type="dxa"/>
              <w:bottom w:w="55" w:type="dxa"/>
              <w:end w:w="12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FAIXAS, UNIDADES E DESEMPENHO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7824"/>
      </w:tblGrid>
      <w:tr>
        <w:trPr>
          <w:cantSplit/>
        </w:trPr>
        <w:tc>
          <w:tcPr>
            <w:tcW w:type="dxa" w:w="2721"/>
            <w:vAlign w:val="center"/>
            <w:shd w:fill="F3F4F5"/>
            <w:tcMar>
              <w:top w:w="48" w:type="dxa"/>
              <w:start w:w="100" w:type="dxa"/>
              <w:bottom w:w="48" w:type="dxa"/>
              <w:end w:w="90" w:type="dxa"/>
            </w:tcMar>
            <w:tcBorders>
              <w:bottom w:val="single" w:sz="4" w:color="D9D9D9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/>
                <w:color w:val="4A4A4A"/>
                <w:sz w:val="14"/>
              </w:rPr>
              <w:t>Manômetro</w:t>
            </w:r>
          </w:p>
        </w:tc>
        <w:tc>
          <w:tcPr>
            <w:tcW w:type="dxa" w:w="7824"/>
            <w:vAlign w:val="center"/>
            <w:tcMar>
              <w:top w:w="48" w:type="dxa"/>
              <w:start w:w="100" w:type="dxa"/>
              <w:bottom w:w="48" w:type="dxa"/>
              <w:end w:w="90" w:type="dxa"/>
            </w:tcMar>
            <w:tcBorders>
              <w:bottom w:val="single" w:sz="4" w:color="D9D9D9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 w:val="0"/>
                <w:color w:val="151515"/>
                <w:sz w:val="14"/>
              </w:rPr>
              <w:t>Faixas de 0 até 1.000 bar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3F4F5"/>
            <w:tcMar>
              <w:top w:w="48" w:type="dxa"/>
              <w:start w:w="100" w:type="dxa"/>
              <w:bottom w:w="48" w:type="dxa"/>
              <w:end w:w="90" w:type="dxa"/>
            </w:tcMar>
            <w:tcBorders>
              <w:bottom w:val="single" w:sz="4" w:color="D9D9D9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/>
                <w:color w:val="4A4A4A"/>
                <w:sz w:val="14"/>
              </w:rPr>
              <w:t>Vacuômetro</w:t>
            </w:r>
          </w:p>
        </w:tc>
        <w:tc>
          <w:tcPr>
            <w:tcW w:type="dxa" w:w="7824"/>
            <w:vAlign w:val="center"/>
            <w:tcMar>
              <w:top w:w="48" w:type="dxa"/>
              <w:start w:w="100" w:type="dxa"/>
              <w:bottom w:w="48" w:type="dxa"/>
              <w:end w:w="90" w:type="dxa"/>
            </w:tcMar>
            <w:tcBorders>
              <w:bottom w:val="single" w:sz="4" w:color="D9D9D9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 w:val="0"/>
                <w:color w:val="151515"/>
                <w:sz w:val="14"/>
              </w:rPr>
              <w:t>Faixas de -1 até 0 bar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3F4F5"/>
            <w:tcMar>
              <w:top w:w="48" w:type="dxa"/>
              <w:start w:w="100" w:type="dxa"/>
              <w:bottom w:w="48" w:type="dxa"/>
              <w:end w:w="90" w:type="dxa"/>
            </w:tcMar>
            <w:tcBorders>
              <w:bottom w:val="single" w:sz="4" w:color="D9D9D9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/>
                <w:color w:val="4A4A4A"/>
                <w:sz w:val="14"/>
              </w:rPr>
              <w:t>Manovacuômetro</w:t>
            </w:r>
          </w:p>
        </w:tc>
        <w:tc>
          <w:tcPr>
            <w:tcW w:type="dxa" w:w="7824"/>
            <w:vAlign w:val="center"/>
            <w:tcMar>
              <w:top w:w="48" w:type="dxa"/>
              <w:start w:w="100" w:type="dxa"/>
              <w:bottom w:w="48" w:type="dxa"/>
              <w:end w:w="90" w:type="dxa"/>
            </w:tcMar>
            <w:tcBorders>
              <w:bottom w:val="single" w:sz="4" w:color="D9D9D9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 w:val="0"/>
                <w:color w:val="151515"/>
                <w:sz w:val="14"/>
              </w:rPr>
              <w:t>Faixas de -1 até 4 bar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3F4F5"/>
            <w:tcMar>
              <w:top w:w="48" w:type="dxa"/>
              <w:start w:w="100" w:type="dxa"/>
              <w:bottom w:w="48" w:type="dxa"/>
              <w:end w:w="90" w:type="dxa"/>
            </w:tcMar>
            <w:tcBorders>
              <w:bottom w:val="single" w:sz="4" w:color="D9D9D9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/>
                <w:color w:val="4A4A4A"/>
                <w:sz w:val="14"/>
              </w:rPr>
              <w:t>Configuração das escalas</w:t>
            </w:r>
          </w:p>
        </w:tc>
        <w:tc>
          <w:tcPr>
            <w:tcW w:type="dxa" w:w="7824"/>
            <w:vAlign w:val="center"/>
            <w:tcMar>
              <w:top w:w="48" w:type="dxa"/>
              <w:start w:w="100" w:type="dxa"/>
              <w:bottom w:w="48" w:type="dxa"/>
              <w:end w:w="90" w:type="dxa"/>
            </w:tcMar>
            <w:tcBorders>
              <w:bottom w:val="single" w:sz="4" w:color="D9D9D9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 w:val="0"/>
                <w:color w:val="151515"/>
                <w:sz w:val="14"/>
              </w:rPr>
              <w:t>Faixas configuráveis dentro dos limites indicados; escalas específicas sob consulta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3F4F5"/>
            <w:tcMar>
              <w:top w:w="48" w:type="dxa"/>
              <w:start w:w="100" w:type="dxa"/>
              <w:bottom w:w="48" w:type="dxa"/>
              <w:end w:w="90" w:type="dxa"/>
            </w:tcMar>
            <w:tcBorders>
              <w:bottom w:val="single" w:sz="4" w:color="D9D9D9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/>
                <w:color w:val="4A4A4A"/>
                <w:sz w:val="14"/>
              </w:rPr>
              <w:t>Unidades disponíveis</w:t>
            </w:r>
          </w:p>
        </w:tc>
        <w:tc>
          <w:tcPr>
            <w:tcW w:type="dxa" w:w="7824"/>
            <w:vAlign w:val="center"/>
            <w:tcMar>
              <w:top w:w="48" w:type="dxa"/>
              <w:start w:w="100" w:type="dxa"/>
              <w:bottom w:w="48" w:type="dxa"/>
              <w:end w:w="90" w:type="dxa"/>
            </w:tcMar>
            <w:tcBorders>
              <w:bottom w:val="single" w:sz="4" w:color="D9D9D9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 w:val="0"/>
                <w:color w:val="151515"/>
                <w:sz w:val="14"/>
              </w:rPr>
              <w:t>bar, kgf/cm², psi, mca, mbar, kPa, mmHg, ton, mmca e MPa. Demais unidades sob consulta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3F4F5"/>
            <w:tcMar>
              <w:top w:w="48" w:type="dxa"/>
              <w:start w:w="100" w:type="dxa"/>
              <w:bottom w:w="48" w:type="dxa"/>
              <w:end w:w="90" w:type="dxa"/>
            </w:tcMar>
            <w:tcBorders>
              <w:bottom w:val="single" w:sz="4" w:color="D9D9D9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/>
                <w:color w:val="4A4A4A"/>
                <w:sz w:val="14"/>
              </w:rPr>
              <w:t>Classes de precisão</w:t>
            </w:r>
          </w:p>
        </w:tc>
        <w:tc>
          <w:tcPr>
            <w:tcW w:type="dxa" w:w="7824"/>
            <w:vAlign w:val="center"/>
            <w:tcMar>
              <w:top w:w="48" w:type="dxa"/>
              <w:start w:w="100" w:type="dxa"/>
              <w:bottom w:w="48" w:type="dxa"/>
              <w:end w:w="90" w:type="dxa"/>
            </w:tcMar>
            <w:tcBorders>
              <w:bottom w:val="single" w:sz="4" w:color="D9D9D9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 w:val="0"/>
                <w:color w:val="151515"/>
                <w:sz w:val="14"/>
              </w:rPr>
              <w:t>A (1,6%), A1 (1%) ou B (3/2/3)%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3F4F5"/>
            <w:tcMar>
              <w:top w:w="48" w:type="dxa"/>
              <w:start w:w="100" w:type="dxa"/>
              <w:bottom w:w="48" w:type="dxa"/>
              <w:end w:w="90" w:type="dxa"/>
            </w:tcMar>
            <w:tcBorders>
              <w:bottom w:val="single" w:sz="4" w:color="D9D9D9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/>
                <w:color w:val="4A4A4A"/>
                <w:sz w:val="14"/>
              </w:rPr>
              <w:t>Norma de referência</w:t>
            </w:r>
          </w:p>
        </w:tc>
        <w:tc>
          <w:tcPr>
            <w:tcW w:type="dxa" w:w="7824"/>
            <w:vAlign w:val="center"/>
            <w:tcMar>
              <w:top w:w="48" w:type="dxa"/>
              <w:start w:w="100" w:type="dxa"/>
              <w:bottom w:w="48" w:type="dxa"/>
              <w:end w:w="90" w:type="dxa"/>
            </w:tcMar>
            <w:tcBorders>
              <w:bottom w:val="single" w:sz="4" w:color="D9D9D9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 w:val="0"/>
                <w:color w:val="151515"/>
                <w:sz w:val="14"/>
              </w:rPr>
              <w:t>ABNT NBR 14105-1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5"/>
      </w:tblGrid>
      <w:tr>
        <w:trPr>
          <w:cantSplit/>
        </w:trPr>
        <w:tc>
          <w:tcPr>
            <w:tcW w:type="dxa" w:w="10546"/>
            <w:shd w:fill="E30613"/>
            <w:tcMar>
              <w:top w:w="55" w:type="dxa"/>
              <w:start w:w="125" w:type="dxa"/>
              <w:bottom w:w="55" w:type="dxa"/>
              <w:end w:w="12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LIMITES DE TEMPERATURA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color w:val="4A4A4A"/>
                <w:sz w:val="13"/>
              </w:rPr>
              <w:t>AMBIENTE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151515"/>
                <w:sz w:val="16"/>
              </w:rPr>
              <w:t>-20 a +60 °C</w:t>
            </w:r>
          </w:p>
        </w:tc>
        <w:tc>
          <w:tcPr>
            <w:tcW w:type="dxa" w:w="3515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color w:val="4A4A4A"/>
                <w:sz w:val="13"/>
              </w:rPr>
              <w:t>FLUIDO DO PROCESSO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151515"/>
                <w:sz w:val="16"/>
              </w:rPr>
              <w:t>-20 a +60 °C</w:t>
            </w:r>
          </w:p>
        </w:tc>
        <w:tc>
          <w:tcPr>
            <w:tcW w:type="dxa" w:w="3515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color w:val="4A4A4A"/>
                <w:sz w:val="13"/>
              </w:rPr>
              <w:t>ARMAZENAMENTO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151515"/>
                <w:sz w:val="16"/>
              </w:rPr>
              <w:t>-40 a +70 °C</w:t>
            </w:r>
          </w:p>
        </w:tc>
      </w:tr>
    </w:tbl>
    <w:p>
      <w:pPr>
        <w:keepNext w:val="0"/>
        <w:spacing w:before="40" w:after="0" w:line="240" w:lineRule="auto"/>
        <w:jc w:val="left"/>
      </w:pPr>
      <w:r>
        <w:rPr>
          <w:rFonts w:ascii="Arial" w:hAnsi="Arial"/>
          <w:b/>
          <w:color w:val="E30613"/>
          <w:sz w:val="13"/>
        </w:rPr>
        <w:t xml:space="preserve">Nota técnica  </w:t>
      </w:r>
      <w:r>
        <w:rPr>
          <w:rFonts w:ascii="Arial" w:hAnsi="Arial"/>
          <w:b w:val="0"/>
          <w:color w:val="4A4A4A"/>
          <w:sz w:val="13"/>
        </w:rPr>
        <w:t>A seleção final de escala, unidade, precisão, fechamento e enchimento deve ser confirmada no pedido.</w:t>
      </w:r>
    </w:p>
    <w:sectPr w:rsidR="00FC693F" w:rsidRPr="0006063C" w:rsidSect="00034616">
      <w:footerReference w:type="default" r:id="rId11"/>
      <w:pgSz w:w="11906" w:h="16838"/>
      <w:pgMar w:top="510" w:right="567" w:bottom="567" w:left="850" w:header="227" w:footer="227" w:gutter="0"/>
      <w:cols w:space="720"/>
      <w:docGrid w:linePitch="360"/>
      <w:pgBorders w:offsetFrom="page" w:display="allPages">
        <w:left w:val="single" w:sz="34" w:space="0" w:color="E30613"/>
        <w:top w:val="nil"/>
        <w:bottom w:val="nil"/>
        <w:right w:val="nil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8107"/>
      <w:gridCol w:w="2438"/>
    </w:tblGrid>
    <w:tr>
      <w:tc>
        <w:tcPr>
          <w:tcW w:type="dxa" w:w="5272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spacing w:before="0" w:after="0" w:line="240" w:lineRule="auto"/>
          </w:pPr>
          <w:r>
            <w:rPr>
              <w:rFonts w:ascii="Arial" w:hAnsi="Arial"/>
              <w:b w:val="0"/>
              <w:color w:val="4A4A4A"/>
              <w:sz w:val="12"/>
            </w:rPr>
            <w:t>UniPress Instrumentação Industrial  |  Especificações sujeitas a alterações sem aviso prévio.</w:t>
          </w:r>
        </w:p>
      </w:tc>
      <w:tc>
        <w:tcPr>
          <w:tcW w:type="dxa" w:w="5272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spacing w:before="0" w:after="0" w:line="240" w:lineRule="auto"/>
            <w:jc w:val="right"/>
          </w:pPr>
          <w:r>
            <w:rPr>
              <w:rFonts w:ascii="Arial" w:hAnsi="Arial"/>
              <w:b/>
              <w:color w:val="E30613"/>
              <w:sz w:val="12"/>
            </w:rPr>
            <w:t>UNI-ILE-V-100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" w:line="240" w:lineRule="auto" w:before="40"/>
      <w:contextualSpacing/>
    </w:pPr>
    <w:rPr>
      <w:rFonts w:asciiTheme="majorHAnsi" w:eastAsiaTheme="majorEastAsia" w:hAnsiTheme="majorHAnsi" w:cstheme="majorBidi" w:ascii="Arial" w:hAnsi="Arial"/>
      <w:b/>
      <w:color w:val="151515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técnica do manômetro UNI-ILE-V-100</dc:title>
  <dc:subject>Especificações técnicas do manômetro industrial UniPress de 100 mm</dc:subject>
  <dc:creator>UniPress Instrumentação Industrial</dc:creator>
  <cp:keywords>manômetro, tubo Bourdon, UniPress, UNI-ILE-V-100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