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
        <w:jc w:val="left"/>
      </w:pPr>
      <w:r>
        <w:rPr>
          <w:rFonts w:ascii="Arial" w:hAnsi="Arial"/>
          <w:b/>
          <w:color w:val="1F3A5F"/>
          <w:sz w:val="44"/>
        </w:rPr>
        <w:t>EVOLUÇÃO DO MODELO UML — PRIMEIRA ENTREGA</w:t>
      </w:r>
    </w:p>
    <w:p>
      <w:pPr>
        <w:spacing w:after="240"/>
        <w:jc w:val="both"/>
        <w:pBdr>
          <w:bottom w:val="single" w:sz="12" w:space="6" w:color="1F3A5F"/>
        </w:pBdr>
      </w:pPr>
      <w:r>
        <w:rPr>
          <w:rFonts w:ascii="Arial" w:hAnsi="Arial"/>
          <w:i/>
          <w:color w:val="555555"/>
          <w:sz w:val="24"/>
        </w:rPr>
        <w:t>Diagnóstico legado, requisitos revisados, modelagem orientada a objetos e modelo proposto</w:t>
      </w:r>
    </w:p>
    <w:p>
      <w:pPr>
        <w:pBdr>
          <w:left w:val="single" w:sz="24" w:space="8" w:color="1F3A5F"/>
        </w:pBdr>
        <w:shd w:val="clear" w:color="auto" w:fill="EEF2F7"/>
        <w:ind w:left="170"/>
        <w:jc w:val="both"/>
      </w:pPr>
      <w:r>
        <w:rPr>
          <w:rFonts w:ascii="Arial" w:hAnsi="Arial"/>
          <w:sz w:val="20"/>
        </w:rPr>
        <w:t>Documento elaborado a partir da comparação visual entre o diagrama legado (mais detalhado, com entidades operacionais e indicadores) e o diagrama proposto/reduzido (com Cidadao, Unidade, Endereco, Ocorrencia, Viaturas e o enum Status). A justificativa descreve a intenção de modelagem que pode ser sustentada pelos diagramas. Onde uma regra de negócio não está explícita nas imagens, ela é apresentada como recomendação a validar, e não como fato confirmado.</w:t>
      </w:r>
    </w:p>
    <w:p>
      <w:pPr>
        <w:pStyle w:val="Heading1"/>
      </w:pPr>
      <w:r>
        <w:t>1. Escopo e critério da revisão</w:t>
      </w:r>
    </w:p>
    <w:p>
      <w:pPr>
        <w:jc w:val="both"/>
      </w:pPr>
      <w:r>
        <w:t>A primeira entrega concentra-se exclusivamente nas quatro primeiras fases solicitadas: (1) levantamento e revisão de requisitos; (2) análise da base legada; (3) modelagem orientada a objetos; e (4) evolução do modelo relacional. A proposta reduz a quantidade de classes do modelo visível e concentra o diagrama nas entidades centrais do atendimento de ocorrências. A redução do diagrama, por si só, não significa que todos os dados excluídos devam ser apagados da base: algumas classes do legado podem representar módulos analíticos, históricos ou operacionais que devem ser mantidos fora do núcleo transacional, ou reintroduzidos em uma etapa posterior.</w:t>
      </w:r>
    </w:p>
    <w:p>
      <w:pPr>
        <w:pStyle w:val="Heading1"/>
      </w:pPr>
      <w:r>
        <w:t>2. Fase 01 — Levantamento e revisão de requisitos</w:t>
      </w:r>
    </w:p>
    <w:p>
      <w:pPr>
        <w:pStyle w:val="Heading2"/>
      </w:pPr>
      <w:r>
        <w:t>2.1 Diagnóstico dos requisitos legados</w:t>
      </w:r>
    </w:p>
    <w:p>
      <w:pPr>
        <w:jc w:val="both"/>
      </w:pPr>
      <w:r>
        <w:t>O modelo legado representa um sistema com escopo amplo: chamadas, áreas, unidades, patrulhamento, ações preventivas, ocorrências, viaturas, equipes, indicadores mensais e dicionário de dados. Há atributos operacionais e analíticos misturados, como datas e horários, classificações, prioridade, status, coordenadas/localização, estimativas de tempo de resposta, quantidade de ocorrências e métricas de área.</w:t>
      </w:r>
    </w:p>
    <w:p>
      <w:pPr>
        <w:jc w:val="both"/>
      </w:pPr>
      <w:r>
        <w:t>Esse nível de detalhe é útil para relatórios e acompanhamento de desempenho, mas torna o diagrama mais difícil de compreender como modelo central de domínio. A revisão propõe separar o núcleo necessário para registrar uma ocorrência e relacioná-la ao cidadão, endereço, unidade responsável e viatura(s), deixando indicadores e atividades complementares para módulos específicos.</w:t>
      </w:r>
    </w:p>
    <w:p>
      <w:pPr>
        <w:pStyle w:val="Heading2"/>
      </w:pPr>
      <w:r>
        <w:t>2.2 Requisitos revisados e novos — matriz preliminar</w:t>
      </w:r>
    </w:p>
    <w:tbl>
      <w:tblPr>
        <w:tblStyle w:val="TableGrid"/>
        <w:jc w:val="center"/>
        <w:tblLayout w:type="fixed"/>
        <w:tblLook w:firstColumn="1" w:firstRow="1" w:lastColumn="0" w:lastRow="0" w:noHBand="0" w:noVBand="1" w:val="04A0"/>
        <w:tblW w:w="9411" w:type="dxa"/>
        <w:tblBorders>
          <w:top w:val="single" w:sz="4" w:color="BFC8D4"/>
          <w:left w:val="single" w:sz="4" w:color="BFC8D4"/>
          <w:bottom w:val="single" w:sz="4" w:color="BFC8D4"/>
          <w:right w:val="single" w:sz="4" w:color="BFC8D4"/>
          <w:insideH w:val="single" w:sz="4" w:color="BFC8D4"/>
          <w:insideV w:val="single" w:sz="4" w:color="BFC8D4"/>
        </w:tblBorders>
      </w:tblPr>
      <w:tblGrid>
        <w:gridCol w:w="752"/>
        <w:gridCol w:w="3952"/>
        <w:gridCol w:w="3576"/>
        <w:gridCol w:w="1129"/>
      </w:tblGrid>
      <w:tr>
        <w:trPr>
          <w:cantSplit/>
          <w:tblHeader/>
        </w:trPr>
        <w:tc>
          <w:tcPr>
            <w:tcW w:type="dxa" w:w="753"/>
            <w:vAlign w:val="center"/>
            <w:shd w:val="clear" w:color="auto" w:fill="1F3A5F"/>
            <w:tcMar>
              <w:top w:w="50" w:type="dxa"/>
              <w:bottom w:w="50" w:type="dxa"/>
            </w:tcMar>
          </w:tcPr>
          <w:p>
            <w:pPr>
              <w:spacing w:after="40" w:before="20"/>
              <w:jc w:val="left"/>
            </w:pPr>
            <w:r>
              <w:rPr>
                <w:rFonts w:ascii="Arial" w:hAnsi="Arial"/>
                <w:b/>
                <w:color w:val="FFFFFF"/>
                <w:sz w:val="18"/>
              </w:rPr>
              <w:t>ID</w:t>
            </w:r>
          </w:p>
        </w:tc>
        <w:tc>
          <w:tcPr>
            <w:tcW w:type="dxa" w:w="3953"/>
            <w:vAlign w:val="center"/>
            <w:shd w:val="clear" w:color="auto" w:fill="1F3A5F"/>
            <w:tcMar>
              <w:top w:w="50" w:type="dxa"/>
              <w:bottom w:w="50" w:type="dxa"/>
            </w:tcMar>
          </w:tcPr>
          <w:p>
            <w:pPr>
              <w:spacing w:after="40" w:before="20"/>
              <w:jc w:val="left"/>
            </w:pPr>
            <w:r>
              <w:rPr>
                <w:rFonts w:ascii="Arial" w:hAnsi="Arial"/>
                <w:b/>
                <w:color w:val="FFFFFF"/>
                <w:sz w:val="18"/>
              </w:rPr>
              <w:t>Requisito revisado/proposto</w:t>
            </w:r>
          </w:p>
        </w:tc>
        <w:tc>
          <w:tcPr>
            <w:tcW w:type="dxa" w:w="3576"/>
            <w:vAlign w:val="center"/>
            <w:shd w:val="clear" w:color="auto" w:fill="1F3A5F"/>
            <w:tcMar>
              <w:top w:w="50" w:type="dxa"/>
              <w:bottom w:w="50" w:type="dxa"/>
            </w:tcMar>
          </w:tcPr>
          <w:p>
            <w:pPr>
              <w:spacing w:after="40" w:before="20"/>
              <w:jc w:val="left"/>
            </w:pPr>
            <w:r>
              <w:rPr>
                <w:rFonts w:ascii="Arial" w:hAnsi="Arial"/>
                <w:b/>
                <w:color w:val="FFFFFF"/>
                <w:sz w:val="18"/>
              </w:rPr>
              <w:t>Evidência no modelo</w:t>
            </w:r>
          </w:p>
        </w:tc>
        <w:tc>
          <w:tcPr>
            <w:tcW w:type="dxa" w:w="1129"/>
            <w:vAlign w:val="center"/>
            <w:shd w:val="clear" w:color="auto" w:fill="1F3A5F"/>
            <w:tcMar>
              <w:top w:w="50" w:type="dxa"/>
              <w:bottom w:w="50" w:type="dxa"/>
            </w:tcMar>
          </w:tcPr>
          <w:p>
            <w:pPr>
              <w:spacing w:after="40" w:before="20"/>
              <w:jc w:val="left"/>
            </w:pPr>
            <w:r>
              <w:rPr>
                <w:rFonts w:ascii="Arial" w:hAnsi="Arial"/>
                <w:b/>
                <w:color w:val="FFFFFF"/>
                <w:sz w:val="18"/>
              </w:rPr>
              <w:t>Prioridade</w:t>
            </w:r>
          </w:p>
        </w:tc>
      </w:tr>
      <w:tr>
        <w:trPr>
          <w:cantSplit/>
        </w:trPr>
        <w:tc>
          <w:tcPr>
            <w:tcW w:type="dxa" w:w="753"/>
            <w:vAlign w:val="center"/>
            <w:tcMar>
              <w:top w:w="50" w:type="dxa"/>
              <w:bottom w:w="50" w:type="dxa"/>
            </w:tcMar>
          </w:tcPr>
          <w:p>
            <w:pPr>
              <w:spacing w:after="40" w:before="20"/>
              <w:jc w:val="left"/>
            </w:pPr>
            <w:r>
              <w:rPr>
                <w:rFonts w:ascii="Arial" w:hAnsi="Arial"/>
                <w:sz w:val="18"/>
              </w:rPr>
              <w:t>R01</w:t>
            </w:r>
          </w:p>
        </w:tc>
        <w:tc>
          <w:tcPr>
            <w:tcW w:type="dxa" w:w="3953"/>
            <w:vAlign w:val="center"/>
            <w:tcMar>
              <w:top w:w="50" w:type="dxa"/>
              <w:bottom w:w="50" w:type="dxa"/>
            </w:tcMar>
          </w:tcPr>
          <w:p>
            <w:pPr>
              <w:spacing w:after="40" w:before="20"/>
              <w:jc w:val="left"/>
            </w:pPr>
            <w:r>
              <w:rPr>
                <w:rFonts w:ascii="Arial" w:hAnsi="Arial"/>
                <w:sz w:val="18"/>
              </w:rPr>
              <w:t>Cadastrar e identificar cidadãos, com dados de contato.</w:t>
            </w:r>
          </w:p>
        </w:tc>
        <w:tc>
          <w:tcPr>
            <w:tcW w:type="dxa" w:w="3576"/>
            <w:vAlign w:val="center"/>
            <w:tcMar>
              <w:top w:w="50" w:type="dxa"/>
              <w:bottom w:w="50" w:type="dxa"/>
            </w:tcMar>
          </w:tcPr>
          <w:p>
            <w:pPr>
              <w:spacing w:after="40" w:before="20"/>
              <w:jc w:val="left"/>
            </w:pPr>
            <w:r>
              <w:rPr>
                <w:rFonts w:ascii="Arial" w:hAnsi="Arial"/>
                <w:sz w:val="18"/>
              </w:rPr>
              <w:t>Classe Cidadao: id, nome, CPF, telefone e e-mail.</w:t>
            </w:r>
          </w:p>
        </w:tc>
        <w:tc>
          <w:tcPr>
            <w:tcW w:type="dxa" w:w="1129"/>
            <w:vAlign w:val="center"/>
            <w:tcMar>
              <w:top w:w="50" w:type="dxa"/>
              <w:bottom w:w="50" w:type="dxa"/>
            </w:tcMar>
          </w:tcPr>
          <w:p>
            <w:pPr>
              <w:spacing w:after="40" w:before="20"/>
              <w:jc w:val="left"/>
            </w:pPr>
            <w:r>
              <w:rPr>
                <w:rFonts w:ascii="Arial" w:hAnsi="Arial"/>
                <w:sz w:val="18"/>
              </w:rPr>
              <w:t>Alta</w:t>
            </w:r>
          </w:p>
        </w:tc>
      </w:tr>
      <w:tr>
        <w:trPr>
          <w:cantSplit/>
        </w:trPr>
        <w:tc>
          <w:tcPr>
            <w:tcW w:type="dxa" w:w="753"/>
            <w:vAlign w:val="center"/>
            <w:shd w:val="clear" w:color="auto" w:fill="F3F6FA"/>
            <w:tcMar>
              <w:top w:w="50" w:type="dxa"/>
              <w:bottom w:w="50" w:type="dxa"/>
            </w:tcMar>
          </w:tcPr>
          <w:p>
            <w:pPr>
              <w:spacing w:after="40" w:before="20"/>
              <w:jc w:val="left"/>
            </w:pPr>
            <w:r>
              <w:rPr>
                <w:rFonts w:ascii="Arial" w:hAnsi="Arial"/>
                <w:sz w:val="18"/>
              </w:rPr>
              <w:t>R02</w:t>
            </w:r>
          </w:p>
        </w:tc>
        <w:tc>
          <w:tcPr>
            <w:tcW w:type="dxa" w:w="3953"/>
            <w:vAlign w:val="center"/>
            <w:shd w:val="clear" w:color="auto" w:fill="F3F6FA"/>
            <w:tcMar>
              <w:top w:w="50" w:type="dxa"/>
              <w:bottom w:w="50" w:type="dxa"/>
            </w:tcMar>
          </w:tcPr>
          <w:p>
            <w:pPr>
              <w:spacing w:after="40" w:before="20"/>
              <w:jc w:val="left"/>
            </w:pPr>
            <w:r>
              <w:rPr>
                <w:rFonts w:ascii="Arial" w:hAnsi="Arial"/>
                <w:sz w:val="18"/>
              </w:rPr>
              <w:t>Manter endereço como entidade própria, reutilizável e vinculável a registros.</w:t>
            </w:r>
          </w:p>
        </w:tc>
        <w:tc>
          <w:tcPr>
            <w:tcW w:type="dxa" w:w="3576"/>
            <w:vAlign w:val="center"/>
            <w:shd w:val="clear" w:color="auto" w:fill="F3F6FA"/>
            <w:tcMar>
              <w:top w:w="50" w:type="dxa"/>
              <w:bottom w:w="50" w:type="dxa"/>
            </w:tcMar>
          </w:tcPr>
          <w:p>
            <w:pPr>
              <w:spacing w:after="40" w:before="20"/>
              <w:jc w:val="left"/>
            </w:pPr>
            <w:r>
              <w:rPr>
                <w:rFonts w:ascii="Arial" w:hAnsi="Arial"/>
                <w:sz w:val="18"/>
              </w:rPr>
              <w:t>Classe Endereco: id, logradouro, número e bairro.</w:t>
            </w:r>
          </w:p>
        </w:tc>
        <w:tc>
          <w:tcPr>
            <w:tcW w:type="dxa" w:w="1129"/>
            <w:vAlign w:val="center"/>
            <w:shd w:val="clear" w:color="auto" w:fill="F3F6FA"/>
            <w:tcMar>
              <w:top w:w="50" w:type="dxa"/>
              <w:bottom w:w="50" w:type="dxa"/>
            </w:tcMar>
          </w:tcPr>
          <w:p>
            <w:pPr>
              <w:spacing w:after="40" w:before="20"/>
              <w:jc w:val="left"/>
            </w:pPr>
            <w:r>
              <w:rPr>
                <w:rFonts w:ascii="Arial" w:hAnsi="Arial"/>
                <w:sz w:val="18"/>
              </w:rPr>
              <w:t>Alta</w:t>
            </w:r>
          </w:p>
        </w:tc>
      </w:tr>
      <w:tr>
        <w:trPr>
          <w:cantSplit/>
        </w:trPr>
        <w:tc>
          <w:tcPr>
            <w:tcW w:type="dxa" w:w="753"/>
            <w:vAlign w:val="center"/>
            <w:tcMar>
              <w:top w:w="50" w:type="dxa"/>
              <w:bottom w:w="50" w:type="dxa"/>
            </w:tcMar>
          </w:tcPr>
          <w:p>
            <w:pPr>
              <w:spacing w:after="40" w:before="20"/>
              <w:jc w:val="left"/>
            </w:pPr>
            <w:r>
              <w:rPr>
                <w:rFonts w:ascii="Arial" w:hAnsi="Arial"/>
                <w:sz w:val="18"/>
              </w:rPr>
              <w:t>R03</w:t>
            </w:r>
          </w:p>
        </w:tc>
        <w:tc>
          <w:tcPr>
            <w:tcW w:type="dxa" w:w="3953"/>
            <w:vAlign w:val="center"/>
            <w:tcMar>
              <w:top w:w="50" w:type="dxa"/>
              <w:bottom w:w="50" w:type="dxa"/>
            </w:tcMar>
          </w:tcPr>
          <w:p>
            <w:pPr>
              <w:spacing w:after="40" w:before="20"/>
              <w:jc w:val="left"/>
            </w:pPr>
            <w:r>
              <w:rPr>
                <w:rFonts w:ascii="Arial" w:hAnsi="Arial"/>
                <w:sz w:val="18"/>
              </w:rPr>
              <w:t>Registrar ocorrências com data/hora, tipo, prioridade, status e localização.</w:t>
            </w:r>
          </w:p>
        </w:tc>
        <w:tc>
          <w:tcPr>
            <w:tcW w:type="dxa" w:w="3576"/>
            <w:vAlign w:val="center"/>
            <w:tcMar>
              <w:top w:w="50" w:type="dxa"/>
              <w:bottom w:w="50" w:type="dxa"/>
            </w:tcMar>
          </w:tcPr>
          <w:p>
            <w:pPr>
              <w:spacing w:after="40" w:before="20"/>
              <w:jc w:val="left"/>
            </w:pPr>
            <w:r>
              <w:rPr>
                <w:rFonts w:ascii="Arial" w:hAnsi="Arial"/>
                <w:sz w:val="18"/>
              </w:rPr>
              <w:t>Classe Ocorrencia contém os atributos principais do evento.</w:t>
            </w:r>
          </w:p>
        </w:tc>
        <w:tc>
          <w:tcPr>
            <w:tcW w:type="dxa" w:w="1129"/>
            <w:vAlign w:val="center"/>
            <w:tcMar>
              <w:top w:w="50" w:type="dxa"/>
              <w:bottom w:w="50" w:type="dxa"/>
            </w:tcMar>
          </w:tcPr>
          <w:p>
            <w:pPr>
              <w:spacing w:after="40" w:before="20"/>
              <w:jc w:val="left"/>
            </w:pPr>
            <w:r>
              <w:rPr>
                <w:rFonts w:ascii="Arial" w:hAnsi="Arial"/>
                <w:sz w:val="18"/>
              </w:rPr>
              <w:t>Alta</w:t>
            </w:r>
          </w:p>
        </w:tc>
      </w:tr>
      <w:tr>
        <w:trPr>
          <w:cantSplit/>
        </w:trPr>
        <w:tc>
          <w:tcPr>
            <w:tcW w:type="dxa" w:w="753"/>
            <w:vAlign w:val="center"/>
            <w:shd w:val="clear" w:color="auto" w:fill="F3F6FA"/>
            <w:tcMar>
              <w:top w:w="50" w:type="dxa"/>
              <w:bottom w:w="50" w:type="dxa"/>
            </w:tcMar>
          </w:tcPr>
          <w:p>
            <w:pPr>
              <w:spacing w:after="40" w:before="20"/>
              <w:jc w:val="left"/>
            </w:pPr>
            <w:r>
              <w:rPr>
                <w:rFonts w:ascii="Arial" w:hAnsi="Arial"/>
                <w:sz w:val="18"/>
              </w:rPr>
              <w:t>R04</w:t>
            </w:r>
          </w:p>
        </w:tc>
        <w:tc>
          <w:tcPr>
            <w:tcW w:type="dxa" w:w="3953"/>
            <w:vAlign w:val="center"/>
            <w:shd w:val="clear" w:color="auto" w:fill="F3F6FA"/>
            <w:tcMar>
              <w:top w:w="50" w:type="dxa"/>
              <w:bottom w:w="50" w:type="dxa"/>
            </w:tcMar>
          </w:tcPr>
          <w:p>
            <w:pPr>
              <w:spacing w:after="40" w:before="20"/>
              <w:jc w:val="left"/>
            </w:pPr>
            <w:r>
              <w:rPr>
                <w:rFonts w:ascii="Arial" w:hAnsi="Arial"/>
                <w:sz w:val="18"/>
              </w:rPr>
              <w:t>Associar ocorrência a uma unidade responsável/operacional.</w:t>
            </w:r>
          </w:p>
        </w:tc>
        <w:tc>
          <w:tcPr>
            <w:tcW w:type="dxa" w:w="3576"/>
            <w:vAlign w:val="center"/>
            <w:shd w:val="clear" w:color="auto" w:fill="F3F6FA"/>
            <w:tcMar>
              <w:top w:w="50" w:type="dxa"/>
              <w:bottom w:w="50" w:type="dxa"/>
            </w:tcMar>
          </w:tcPr>
          <w:p>
            <w:pPr>
              <w:spacing w:after="40" w:before="20"/>
              <w:jc w:val="left"/>
            </w:pPr>
            <w:r>
              <w:rPr>
                <w:rFonts w:ascii="Arial" w:hAnsi="Arial"/>
                <w:sz w:val="18"/>
              </w:rPr>
              <w:t>Associação Ocorrencia–Unidade sugerida pela estrutura do diagrama; multiplicidades devem ser confirmadas.</w:t>
            </w:r>
          </w:p>
        </w:tc>
        <w:tc>
          <w:tcPr>
            <w:tcW w:type="dxa" w:w="1129"/>
            <w:vAlign w:val="center"/>
            <w:shd w:val="clear" w:color="auto" w:fill="F3F6FA"/>
            <w:tcMar>
              <w:top w:w="50" w:type="dxa"/>
              <w:bottom w:w="50" w:type="dxa"/>
            </w:tcMar>
          </w:tcPr>
          <w:p>
            <w:pPr>
              <w:spacing w:after="40" w:before="20"/>
              <w:jc w:val="left"/>
            </w:pPr>
            <w:r>
              <w:rPr>
                <w:rFonts w:ascii="Arial" w:hAnsi="Arial"/>
                <w:sz w:val="18"/>
              </w:rPr>
              <w:t>Alta</w:t>
            </w:r>
          </w:p>
        </w:tc>
      </w:tr>
      <w:tr>
        <w:trPr>
          <w:cantSplit/>
        </w:trPr>
        <w:tc>
          <w:tcPr>
            <w:tcW w:type="dxa" w:w="753"/>
            <w:vAlign w:val="center"/>
            <w:tcMar>
              <w:top w:w="50" w:type="dxa"/>
              <w:bottom w:w="50" w:type="dxa"/>
            </w:tcMar>
          </w:tcPr>
          <w:p>
            <w:pPr>
              <w:spacing w:after="40" w:before="20"/>
              <w:jc w:val="left"/>
            </w:pPr>
            <w:r>
              <w:rPr>
                <w:rFonts w:ascii="Arial" w:hAnsi="Arial"/>
                <w:sz w:val="18"/>
              </w:rPr>
              <w:t>R05</w:t>
            </w:r>
          </w:p>
        </w:tc>
        <w:tc>
          <w:tcPr>
            <w:tcW w:type="dxa" w:w="3953"/>
            <w:vAlign w:val="center"/>
            <w:tcMar>
              <w:top w:w="50" w:type="dxa"/>
              <w:bottom w:w="50" w:type="dxa"/>
            </w:tcMar>
          </w:tcPr>
          <w:p>
            <w:pPr>
              <w:spacing w:after="40" w:before="20"/>
              <w:jc w:val="left"/>
            </w:pPr>
            <w:r>
              <w:rPr>
                <w:rFonts w:ascii="Arial" w:hAnsi="Arial"/>
                <w:sz w:val="18"/>
              </w:rPr>
              <w:t>Associar viaturas às ocorrências e acompanhar sua disponibilidade operacional.</w:t>
            </w:r>
          </w:p>
        </w:tc>
        <w:tc>
          <w:tcPr>
            <w:tcW w:type="dxa" w:w="3576"/>
            <w:vAlign w:val="center"/>
            <w:tcMar>
              <w:top w:w="50" w:type="dxa"/>
              <w:bottom w:w="50" w:type="dxa"/>
            </w:tcMar>
          </w:tcPr>
          <w:p>
            <w:pPr>
              <w:spacing w:after="40" w:before="20"/>
              <w:jc w:val="left"/>
            </w:pPr>
            <w:r>
              <w:rPr>
                <w:rFonts w:ascii="Arial" w:hAnsi="Arial"/>
                <w:sz w:val="18"/>
              </w:rPr>
              <w:t>Classe Viaturas e enum Status; associação com Ocorrencia.</w:t>
            </w:r>
          </w:p>
        </w:tc>
        <w:tc>
          <w:tcPr>
            <w:tcW w:type="dxa" w:w="1129"/>
            <w:vAlign w:val="center"/>
            <w:tcMar>
              <w:top w:w="50" w:type="dxa"/>
              <w:bottom w:w="50" w:type="dxa"/>
            </w:tcMar>
          </w:tcPr>
          <w:p>
            <w:pPr>
              <w:spacing w:after="40" w:before="20"/>
              <w:jc w:val="left"/>
            </w:pPr>
            <w:r>
              <w:rPr>
                <w:rFonts w:ascii="Arial" w:hAnsi="Arial"/>
                <w:sz w:val="18"/>
              </w:rPr>
              <w:t>Alta</w:t>
            </w:r>
          </w:p>
        </w:tc>
      </w:tr>
      <w:tr>
        <w:trPr>
          <w:cantSplit/>
        </w:trPr>
        <w:tc>
          <w:tcPr>
            <w:tcW w:type="dxa" w:w="753"/>
            <w:vAlign w:val="center"/>
            <w:shd w:val="clear" w:color="auto" w:fill="F3F6FA"/>
            <w:tcMar>
              <w:top w:w="50" w:type="dxa"/>
              <w:bottom w:w="50" w:type="dxa"/>
            </w:tcMar>
          </w:tcPr>
          <w:p>
            <w:pPr>
              <w:spacing w:after="40" w:before="20"/>
              <w:jc w:val="left"/>
            </w:pPr>
            <w:r>
              <w:rPr>
                <w:rFonts w:ascii="Arial" w:hAnsi="Arial"/>
                <w:sz w:val="18"/>
              </w:rPr>
              <w:t>R06</w:t>
            </w:r>
          </w:p>
        </w:tc>
        <w:tc>
          <w:tcPr>
            <w:tcW w:type="dxa" w:w="3953"/>
            <w:vAlign w:val="center"/>
            <w:shd w:val="clear" w:color="auto" w:fill="F3F6FA"/>
            <w:tcMar>
              <w:top w:w="50" w:type="dxa"/>
              <w:bottom w:w="50" w:type="dxa"/>
            </w:tcMar>
          </w:tcPr>
          <w:p>
            <w:pPr>
              <w:spacing w:after="40" w:before="20"/>
              <w:jc w:val="left"/>
            </w:pPr>
            <w:r>
              <w:rPr>
                <w:rFonts w:ascii="Arial" w:hAnsi="Arial"/>
                <w:sz w:val="18"/>
              </w:rPr>
              <w:t>Manter cadastro de unidades com nome e população estimada.</w:t>
            </w:r>
          </w:p>
        </w:tc>
        <w:tc>
          <w:tcPr>
            <w:tcW w:type="dxa" w:w="3576"/>
            <w:vAlign w:val="center"/>
            <w:shd w:val="clear" w:color="auto" w:fill="F3F6FA"/>
            <w:tcMar>
              <w:top w:w="50" w:type="dxa"/>
              <w:bottom w:w="50" w:type="dxa"/>
            </w:tcMar>
          </w:tcPr>
          <w:p>
            <w:pPr>
              <w:spacing w:after="40" w:before="20"/>
              <w:jc w:val="left"/>
            </w:pPr>
            <w:r>
              <w:rPr>
                <w:rFonts w:ascii="Arial" w:hAnsi="Arial"/>
                <w:sz w:val="18"/>
              </w:rPr>
              <w:t>Classe Unidade: id, nome e população estimada.</w:t>
            </w:r>
          </w:p>
        </w:tc>
        <w:tc>
          <w:tcPr>
            <w:tcW w:type="dxa" w:w="1129"/>
            <w:vAlign w:val="center"/>
            <w:shd w:val="clear" w:color="auto" w:fill="F3F6FA"/>
            <w:tcMar>
              <w:top w:w="50" w:type="dxa"/>
              <w:bottom w:w="50" w:type="dxa"/>
            </w:tcMar>
          </w:tcPr>
          <w:p>
            <w:pPr>
              <w:spacing w:after="40" w:before="20"/>
              <w:jc w:val="left"/>
            </w:pPr>
            <w:r>
              <w:rPr>
                <w:rFonts w:ascii="Arial" w:hAnsi="Arial"/>
                <w:sz w:val="18"/>
              </w:rPr>
              <w:t>Média</w:t>
            </w:r>
          </w:p>
        </w:tc>
      </w:tr>
      <w:tr>
        <w:trPr>
          <w:cantSplit/>
        </w:trPr>
        <w:tc>
          <w:tcPr>
            <w:tcW w:type="dxa" w:w="753"/>
            <w:vAlign w:val="center"/>
            <w:tcMar>
              <w:top w:w="50" w:type="dxa"/>
              <w:bottom w:w="50" w:type="dxa"/>
            </w:tcMar>
          </w:tcPr>
          <w:p>
            <w:pPr>
              <w:spacing w:after="40" w:before="20"/>
              <w:jc w:val="left"/>
            </w:pPr>
            <w:r>
              <w:rPr>
                <w:rFonts w:ascii="Arial" w:hAnsi="Arial"/>
                <w:sz w:val="18"/>
              </w:rPr>
              <w:t>R07</w:t>
            </w:r>
          </w:p>
        </w:tc>
        <w:tc>
          <w:tcPr>
            <w:tcW w:type="dxa" w:w="3953"/>
            <w:vAlign w:val="center"/>
            <w:tcMar>
              <w:top w:w="50" w:type="dxa"/>
              <w:bottom w:w="50" w:type="dxa"/>
            </w:tcMar>
          </w:tcPr>
          <w:p>
            <w:pPr>
              <w:spacing w:after="40" w:before="20"/>
              <w:jc w:val="left"/>
            </w:pPr>
            <w:r>
              <w:rPr>
                <w:rFonts w:ascii="Arial" w:hAnsi="Arial"/>
                <w:sz w:val="18"/>
              </w:rPr>
              <w:t>Padronizar os estados possíveis de uma viatura.</w:t>
            </w:r>
          </w:p>
        </w:tc>
        <w:tc>
          <w:tcPr>
            <w:tcW w:type="dxa" w:w="3576"/>
            <w:vAlign w:val="center"/>
            <w:tcMar>
              <w:top w:w="50" w:type="dxa"/>
              <w:bottom w:w="50" w:type="dxa"/>
            </w:tcMar>
          </w:tcPr>
          <w:p>
            <w:pPr>
              <w:spacing w:after="40" w:before="20"/>
              <w:jc w:val="left"/>
            </w:pPr>
            <w:r>
              <w:rPr>
                <w:rFonts w:ascii="Arial" w:hAnsi="Arial"/>
                <w:sz w:val="18"/>
              </w:rPr>
              <w:t>Enum Status com Disponível, Em_Atendimento, Em_Deslocamento, Em_Manutencao e Indisponível.</w:t>
            </w:r>
          </w:p>
        </w:tc>
        <w:tc>
          <w:tcPr>
            <w:tcW w:type="dxa" w:w="1129"/>
            <w:vAlign w:val="center"/>
            <w:tcMar>
              <w:top w:w="50" w:type="dxa"/>
              <w:bottom w:w="50" w:type="dxa"/>
            </w:tcMar>
          </w:tcPr>
          <w:p>
            <w:pPr>
              <w:spacing w:after="40" w:before="20"/>
              <w:jc w:val="left"/>
            </w:pPr>
            <w:r>
              <w:rPr>
                <w:rFonts w:ascii="Arial" w:hAnsi="Arial"/>
                <w:sz w:val="18"/>
              </w:rPr>
              <w:t>Alta</w:t>
            </w:r>
          </w:p>
        </w:tc>
      </w:tr>
      <w:tr>
        <w:trPr>
          <w:cantSplit/>
        </w:trPr>
        <w:tc>
          <w:tcPr>
            <w:tcW w:type="dxa" w:w="753"/>
            <w:vAlign w:val="center"/>
            <w:shd w:val="clear" w:color="auto" w:fill="F3F6FA"/>
            <w:tcMar>
              <w:top w:w="50" w:type="dxa"/>
              <w:bottom w:w="50" w:type="dxa"/>
            </w:tcMar>
          </w:tcPr>
          <w:p>
            <w:pPr>
              <w:spacing w:after="40" w:before="20"/>
              <w:jc w:val="left"/>
            </w:pPr>
            <w:r>
              <w:rPr>
                <w:rFonts w:ascii="Arial" w:hAnsi="Arial"/>
                <w:sz w:val="18"/>
              </w:rPr>
              <w:t>R08</w:t>
            </w:r>
          </w:p>
        </w:tc>
        <w:tc>
          <w:tcPr>
            <w:tcW w:type="dxa" w:w="3953"/>
            <w:vAlign w:val="center"/>
            <w:shd w:val="clear" w:color="auto" w:fill="F3F6FA"/>
            <w:tcMar>
              <w:top w:w="50" w:type="dxa"/>
              <w:bottom w:w="50" w:type="dxa"/>
            </w:tcMar>
          </w:tcPr>
          <w:p>
            <w:pPr>
              <w:spacing w:after="40" w:before="20"/>
              <w:jc w:val="left"/>
            </w:pPr>
            <w:r>
              <w:rPr>
                <w:rFonts w:ascii="Arial" w:hAnsi="Arial"/>
                <w:sz w:val="18"/>
              </w:rPr>
              <w:t>Preservar indicadores mensais, patrulhamento e ações preventivas para relatórios ou módulo complementar.</w:t>
            </w:r>
          </w:p>
        </w:tc>
        <w:tc>
          <w:tcPr>
            <w:tcW w:type="dxa" w:w="3576"/>
            <w:vAlign w:val="center"/>
            <w:shd w:val="clear" w:color="auto" w:fill="F3F6FA"/>
            <w:tcMar>
              <w:top w:w="50" w:type="dxa"/>
              <w:bottom w:w="50" w:type="dxa"/>
            </w:tcMar>
          </w:tcPr>
          <w:p>
            <w:pPr>
              <w:spacing w:after="40" w:before="20"/>
              <w:jc w:val="left"/>
            </w:pPr>
            <w:r>
              <w:rPr>
                <w:rFonts w:ascii="Arial" w:hAnsi="Arial"/>
                <w:sz w:val="18"/>
              </w:rPr>
              <w:t>Entidades existentes apenas no legado; não aparecem no modelo reduzido.</w:t>
            </w:r>
          </w:p>
        </w:tc>
        <w:tc>
          <w:tcPr>
            <w:tcW w:type="dxa" w:w="1129"/>
            <w:vAlign w:val="center"/>
            <w:shd w:val="clear" w:color="auto" w:fill="F3F6FA"/>
            <w:tcMar>
              <w:top w:w="50" w:type="dxa"/>
              <w:bottom w:w="50" w:type="dxa"/>
            </w:tcMar>
          </w:tcPr>
          <w:p>
            <w:pPr>
              <w:spacing w:after="40" w:before="20"/>
              <w:jc w:val="left"/>
            </w:pPr>
            <w:r>
              <w:rPr>
                <w:rFonts w:ascii="Arial" w:hAnsi="Arial"/>
                <w:sz w:val="18"/>
              </w:rPr>
              <w:t>Média — validar</w:t>
            </w:r>
          </w:p>
        </w:tc>
      </w:tr>
      <w:tr>
        <w:trPr>
          <w:cantSplit/>
        </w:trPr>
        <w:tc>
          <w:tcPr>
            <w:tcW w:type="dxa" w:w="753"/>
            <w:vAlign w:val="center"/>
            <w:tcMar>
              <w:top w:w="50" w:type="dxa"/>
              <w:bottom w:w="50" w:type="dxa"/>
            </w:tcMar>
          </w:tcPr>
          <w:p>
            <w:pPr>
              <w:spacing w:after="40" w:before="20"/>
              <w:jc w:val="left"/>
            </w:pPr>
            <w:r>
              <w:rPr>
                <w:rFonts w:ascii="Arial" w:hAnsi="Arial"/>
                <w:sz w:val="18"/>
              </w:rPr>
              <w:t>R09</w:t>
            </w:r>
          </w:p>
        </w:tc>
        <w:tc>
          <w:tcPr>
            <w:tcW w:type="dxa" w:w="3953"/>
            <w:vAlign w:val="center"/>
            <w:tcMar>
              <w:top w:w="50" w:type="dxa"/>
              <w:bottom w:w="50" w:type="dxa"/>
            </w:tcMar>
          </w:tcPr>
          <w:p>
            <w:pPr>
              <w:spacing w:after="40" w:before="20"/>
              <w:jc w:val="left"/>
            </w:pPr>
            <w:r>
              <w:rPr>
                <w:rFonts w:ascii="Arial" w:hAnsi="Arial"/>
                <w:sz w:val="18"/>
              </w:rPr>
              <w:t>Definir regras de integridade e cardinalidades entre cidadão, endereço, ocorrência, unidade e viatura.</w:t>
            </w:r>
          </w:p>
        </w:tc>
        <w:tc>
          <w:tcPr>
            <w:tcW w:type="dxa" w:w="3576"/>
            <w:vAlign w:val="center"/>
            <w:tcMar>
              <w:top w:w="50" w:type="dxa"/>
              <w:bottom w:w="50" w:type="dxa"/>
            </w:tcMar>
          </w:tcPr>
          <w:p>
            <w:pPr>
              <w:spacing w:after="40" w:before="20"/>
              <w:jc w:val="left"/>
            </w:pPr>
            <w:r>
              <w:rPr>
                <w:rFonts w:ascii="Arial" w:hAnsi="Arial"/>
                <w:sz w:val="18"/>
              </w:rPr>
              <w:t>Há associações no diagrama proposto, mas algumas multiplicidades precisam de confirmação funcional.</w:t>
            </w:r>
          </w:p>
        </w:tc>
        <w:tc>
          <w:tcPr>
            <w:tcW w:type="dxa" w:w="1129"/>
            <w:vAlign w:val="center"/>
            <w:tcMar>
              <w:top w:w="50" w:type="dxa"/>
              <w:bottom w:w="50" w:type="dxa"/>
            </w:tcMar>
          </w:tcPr>
          <w:p>
            <w:pPr>
              <w:spacing w:after="40" w:before="20"/>
              <w:jc w:val="left"/>
            </w:pPr>
            <w:r>
              <w:rPr>
                <w:rFonts w:ascii="Arial" w:hAnsi="Arial"/>
                <w:sz w:val="18"/>
              </w:rPr>
              <w:t>Alta</w:t>
            </w:r>
          </w:p>
        </w:tc>
      </w:tr>
    </w:tbl>
    <w:p>
      <w:pPr>
        <w:jc w:val="both"/>
      </w:pPr>
      <w:r>
        <w:rPr>
          <w:i/>
          <w:sz w:val="19"/>
        </w:rPr>
        <w:t>Observação: R08 é uma recomendação de preservação/validação, não uma funcionalidade comprovadamente solicitada. A exclusão visual dessas classes deve ser justificada pelo escopo da primeira versão; não se deve concluir, sem validação, que seus dados perderam valor.</w:t>
      </w:r>
    </w:p>
    <w:p>
      <w:pPr>
        <w:pStyle w:val="Heading1"/>
      </w:pPr>
      <w:r>
        <w:t>3. Fase 02 — Análise da base legada</w:t>
      </w:r>
    </w:p>
    <w:p>
      <w:pPr>
        <w:pStyle w:val="Heading2"/>
      </w:pPr>
      <w:r>
        <w:t>3.1 Estrutura identificada</w:t>
      </w:r>
    </w:p>
    <w:p>
      <w:pPr>
        <w:jc w:val="both"/>
      </w:pPr>
      <w:r>
        <w:t>No diagrama legado, as classes centrais incluem chamadas, áreas, unidades, patrulhamento, ações preventivas, ocorrências, equipes e viaturas. Também aparecem indicadores_mensais e dicionario_dados. Várias entidades usam identificadores próprios (por exemplo, id_chamado, id_area, id_unidade, id_ocorrencia, id_viatura e id_equipe) e armazenam referências a outras entidades por atributos como id_area, id_unidade e id_viatura.</w:t>
      </w:r>
    </w:p>
    <w:p>
      <w:pPr>
        <w:jc w:val="both"/>
      </w:pPr>
      <w:r>
        <w:t>O modelo reduzido reorganiza o foco em Cidadao, Unidade, Endereco, Ocorrencia e Viaturas, com Status como enumeração. A alteração mais relevante é a introdução explícita de Cidadao e Endereco no núcleo e a simplificação de atributos operacionais e analíticos.</w:t>
      </w:r>
    </w:p>
    <w:p>
      <w:pPr>
        <w:pStyle w:val="Heading2"/>
      </w:pPr>
      <w:r>
        <w:t>3.2 Pontos de atenção e possíveis inconsistências</w:t>
      </w:r>
    </w:p>
    <w:p>
      <w:pPr>
        <w:pStyle w:val="ListBullet"/>
      </w:pPr>
      <w:r>
        <w:t>Redundância de referências: o legado contém relações representadas tanto por associações UML quanto por atributos de referência (por exemplo, id_unidade, id_area e id_viatura). Na implementação relacional, a referência deve ter uma representação consistente, normalmente por chave estrangeira; não se deve duplicar a mesma informação sem motivo.</w:t>
      </w:r>
    </w:p>
    <w:p>
      <w:pPr>
        <w:pStyle w:val="ListBullet"/>
      </w:pPr>
      <w:r>
        <w:t>Mistura de operação e análise: indicadores_mensais agrega medidas e taxas, enquanto ocorrencias, viaturas e unidades representam entidades operacionais. Manter os dois tipos no mesmo núcleo pode dificultar manutenção e normalização.</w:t>
      </w:r>
    </w:p>
    <w:p>
      <w:pPr>
        <w:pStyle w:val="ListBullet"/>
      </w:pPr>
      <w:r>
        <w:t>Status como texto: no legado, campos como status_unidade, status_equipe, status_chamado, status_acao e status_ocorrencia são strings. Sem catálogo ou enumeração, podem surgir grafias e valores divergentes. O novo enum Status padroniza o status da viatura, mas não resolve automaticamente os estados das demais entidades.</w:t>
      </w:r>
    </w:p>
    <w:p>
      <w:pPr>
        <w:pStyle w:val="ListBullet"/>
      </w:pPr>
      <w:r>
        <w:t>Atributos derivados ou agregados: total_ocorrencias, ocorrencias_por_prioridade, tempo_medio_resposta_min, km_patrulhados e variacao_mensal_ocorrencias parecem métricas calculadas/agregadas. Recomenda-se definir se serão calculadas em consultas/relatórios ou persistidas por necessidade de auditoria/desempenho.</w:t>
      </w:r>
    </w:p>
    <w:p>
      <w:pPr>
        <w:pStyle w:val="ListBullet"/>
      </w:pPr>
      <w:r>
        <w:t>Cardinalidades e obrigatoriedade: as multiplicidades precisam refletir as regras reais. Por exemplo, se toda ocorrência exige uma unidade responsável, a associação deve indicar essa obrigatoriedade; se uma ocorrência pode usar mais de uma viatura, a cardinalidade deve permitir isso.</w:t>
      </w:r>
    </w:p>
    <w:p>
      <w:pPr>
        <w:pStyle w:val="ListBullet"/>
      </w:pPr>
      <w:r>
        <w:t>Dados pessoais: CPF, telefone e e-mail devem ter regras de validação, unicidade quando aplicável e controle de acesso. O diagrama não explicita essas restrições, portanto devem ser documentadas na evolução relacional.</w:t>
      </w:r>
    </w:p>
    <w:p>
      <w:pPr>
        <w:pStyle w:val="Heading2"/>
      </w:pPr>
      <w:r>
        <w:t>3.3 Chaves, índices e integridade — recomendações para documentar</w:t>
      </w:r>
    </w:p>
    <w:p>
      <w:pPr>
        <w:jc w:val="both"/>
      </w:pPr>
      <w:r>
        <w:t>Os diagramas mostram identificadores do tipo id_*, mas não demonstram índices físicos, constraints ou tipos completos de chave estrangeira. Para a implementação, recomenda-se: (a) chave primária para cada entidade; (b) chaves estrangeiras para as associações; (c) índice em chaves estrangeiras usadas em junções frequentes; (d) índices de consulta para data/hora, status e prioridade de ocorrência, conforme o padrão real de acesso; (e) restrição de unicidade para CPF se a regra de negócio permitir um cadastro por CPF; e (f) validações de domínio para status, prioridade e datas. Essas recomendações devem ser confirmadas com o SGBD e os requisitos de consulta.</w:t>
      </w:r>
    </w:p>
    <w:p>
      <w:pPr>
        <w:pStyle w:val="Heading1"/>
      </w:pPr>
      <w:r>
        <w:t>4. Fase 03 — Modelagem orientada a objetos</w:t>
      </w:r>
    </w:p>
    <w:p>
      <w:pPr>
        <w:pStyle w:val="Heading2"/>
      </w:pPr>
      <w:r>
        <w:t>4.1 Classes mantidas, criadas ou remodeladas</w:t>
      </w:r>
    </w:p>
    <w:tbl>
      <w:tblPr>
        <w:tblStyle w:val="TableGrid"/>
        <w:jc w:val="center"/>
        <w:tblLayout w:type="fixed"/>
        <w:tblLook w:firstColumn="1" w:firstRow="1" w:lastColumn="0" w:lastRow="0" w:noHBand="0" w:noVBand="1" w:val="04A0"/>
        <w:tblW w:w="9411" w:type="dxa"/>
        <w:tblBorders>
          <w:top w:val="single" w:sz="4" w:color="BFC8D4"/>
          <w:left w:val="single" w:sz="4" w:color="BFC8D4"/>
          <w:bottom w:val="single" w:sz="4" w:color="BFC8D4"/>
          <w:right w:val="single" w:sz="4" w:color="BFC8D4"/>
          <w:insideH w:val="single" w:sz="4" w:color="BFC8D4"/>
          <w:insideV w:val="single" w:sz="4" w:color="BFC8D4"/>
        </w:tblBorders>
      </w:tblPr>
      <w:tblGrid>
        <w:gridCol w:w="2352"/>
        <w:gridCol w:w="2352"/>
        <w:gridCol w:w="2352"/>
        <w:gridCol w:w="2352"/>
      </w:tblGrid>
      <w:tr>
        <w:trPr>
          <w:cantSplit/>
          <w:tblHeader/>
        </w:trPr>
        <w:tc>
          <w:tcPr>
            <w:tcW w:type="dxa" w:w="2353"/>
            <w:vAlign w:val="center"/>
            <w:shd w:val="clear" w:color="auto" w:fill="1F3A5F"/>
            <w:tcMar>
              <w:top w:w="50" w:type="dxa"/>
              <w:bottom w:w="50" w:type="dxa"/>
            </w:tcMar>
          </w:tcPr>
          <w:p>
            <w:pPr>
              <w:spacing w:after="40" w:before="20"/>
              <w:jc w:val="left"/>
            </w:pPr>
            <w:r>
              <w:rPr>
                <w:rFonts w:ascii="Arial" w:hAnsi="Arial"/>
                <w:b/>
                <w:color w:val="FFFFFF"/>
                <w:sz w:val="18"/>
              </w:rPr>
              <w:t>Classe no modelo proposto</w:t>
            </w:r>
          </w:p>
        </w:tc>
        <w:tc>
          <w:tcPr>
            <w:tcW w:type="dxa" w:w="2353"/>
            <w:vAlign w:val="center"/>
            <w:shd w:val="clear" w:color="auto" w:fill="1F3A5F"/>
            <w:tcMar>
              <w:top w:w="50" w:type="dxa"/>
              <w:bottom w:w="50" w:type="dxa"/>
            </w:tcMar>
          </w:tcPr>
          <w:p>
            <w:pPr>
              <w:spacing w:after="40" w:before="20"/>
              <w:jc w:val="left"/>
            </w:pPr>
            <w:r>
              <w:rPr>
                <w:rFonts w:ascii="Arial" w:hAnsi="Arial"/>
                <w:b/>
                <w:color w:val="FFFFFF"/>
                <w:sz w:val="18"/>
              </w:rPr>
              <w:t>Origem/alteração</w:t>
            </w:r>
          </w:p>
        </w:tc>
        <w:tc>
          <w:tcPr>
            <w:tcW w:type="dxa" w:w="2353"/>
            <w:vAlign w:val="center"/>
            <w:shd w:val="clear" w:color="auto" w:fill="1F3A5F"/>
            <w:tcMar>
              <w:top w:w="50" w:type="dxa"/>
              <w:bottom w:w="50" w:type="dxa"/>
            </w:tcMar>
          </w:tcPr>
          <w:p>
            <w:pPr>
              <w:spacing w:after="40" w:before="20"/>
              <w:jc w:val="left"/>
            </w:pPr>
            <w:r>
              <w:rPr>
                <w:rFonts w:ascii="Arial" w:hAnsi="Arial"/>
                <w:b/>
                <w:color w:val="FFFFFF"/>
                <w:sz w:val="18"/>
              </w:rPr>
              <w:t>Responsabilidade</w:t>
            </w:r>
          </w:p>
        </w:tc>
        <w:tc>
          <w:tcPr>
            <w:tcW w:type="dxa" w:w="2353"/>
            <w:vAlign w:val="center"/>
            <w:shd w:val="clear" w:color="auto" w:fill="1F3A5F"/>
            <w:tcMar>
              <w:top w:w="50" w:type="dxa"/>
              <w:bottom w:w="50" w:type="dxa"/>
            </w:tcMar>
          </w:tcPr>
          <w:p>
            <w:pPr>
              <w:spacing w:after="40" w:before="20"/>
              <w:jc w:val="left"/>
            </w:pPr>
            <w:r>
              <w:rPr>
                <w:rFonts w:ascii="Arial" w:hAnsi="Arial"/>
                <w:b/>
                <w:color w:val="FFFFFF"/>
                <w:sz w:val="18"/>
              </w:rPr>
              <w:t>Justificativa</w:t>
            </w:r>
          </w:p>
        </w:tc>
      </w:tr>
      <w:tr>
        <w:trPr>
          <w:cantSplit/>
        </w:trPr>
        <w:tc>
          <w:tcPr>
            <w:tcW w:type="dxa" w:w="2353"/>
            <w:vAlign w:val="center"/>
            <w:tcMar>
              <w:top w:w="50" w:type="dxa"/>
              <w:bottom w:w="50" w:type="dxa"/>
            </w:tcMar>
          </w:tcPr>
          <w:p>
            <w:pPr>
              <w:spacing w:after="40" w:before="20"/>
              <w:jc w:val="left"/>
            </w:pPr>
            <w:r>
              <w:rPr>
                <w:rFonts w:ascii="Arial" w:hAnsi="Arial"/>
                <w:sz w:val="18"/>
              </w:rPr>
              <w:t>Cidadao</w:t>
            </w:r>
          </w:p>
        </w:tc>
        <w:tc>
          <w:tcPr>
            <w:tcW w:type="dxa" w:w="2353"/>
            <w:vAlign w:val="center"/>
            <w:tcMar>
              <w:top w:w="50" w:type="dxa"/>
              <w:bottom w:w="50" w:type="dxa"/>
            </w:tcMar>
          </w:tcPr>
          <w:p>
            <w:pPr>
              <w:spacing w:after="40" w:before="20"/>
              <w:jc w:val="left"/>
            </w:pPr>
            <w:r>
              <w:rPr>
                <w:rFonts w:ascii="Arial" w:hAnsi="Arial"/>
                <w:sz w:val="18"/>
              </w:rPr>
              <w:t>Nova no diagrama reduzido; não aparece como classe no legado exibido.</w:t>
            </w:r>
          </w:p>
        </w:tc>
        <w:tc>
          <w:tcPr>
            <w:tcW w:type="dxa" w:w="2353"/>
            <w:vAlign w:val="center"/>
            <w:tcMar>
              <w:top w:w="50" w:type="dxa"/>
              <w:bottom w:w="50" w:type="dxa"/>
            </w:tcMar>
          </w:tcPr>
          <w:p>
            <w:pPr>
              <w:spacing w:after="40" w:before="20"/>
              <w:jc w:val="left"/>
            </w:pPr>
            <w:r>
              <w:rPr>
                <w:rFonts w:ascii="Arial" w:hAnsi="Arial"/>
                <w:sz w:val="18"/>
              </w:rPr>
              <w:t>Representar a pessoa que comunica ou está relacionada à ocorrência.</w:t>
            </w:r>
          </w:p>
        </w:tc>
        <w:tc>
          <w:tcPr>
            <w:tcW w:type="dxa" w:w="2353"/>
            <w:vAlign w:val="center"/>
            <w:tcMar>
              <w:top w:w="50" w:type="dxa"/>
              <w:bottom w:w="50" w:type="dxa"/>
            </w:tcMar>
          </w:tcPr>
          <w:p>
            <w:pPr>
              <w:spacing w:after="40" w:before="20"/>
              <w:jc w:val="left"/>
            </w:pPr>
            <w:r>
              <w:rPr>
                <w:rFonts w:ascii="Arial" w:hAnsi="Arial"/>
                <w:sz w:val="18"/>
              </w:rPr>
              <w:t>Evita deixar os dados do cidadão implícitos em uma chamada; centraliza dados de identificação e contato.</w:t>
            </w:r>
          </w:p>
        </w:tc>
      </w:tr>
      <w:tr>
        <w:trPr>
          <w:cantSplit/>
        </w:trPr>
        <w:tc>
          <w:tcPr>
            <w:tcW w:type="dxa" w:w="2353"/>
            <w:vAlign w:val="center"/>
            <w:shd w:val="clear" w:color="auto" w:fill="F3F6FA"/>
            <w:tcMar>
              <w:top w:w="50" w:type="dxa"/>
              <w:bottom w:w="50" w:type="dxa"/>
            </w:tcMar>
          </w:tcPr>
          <w:p>
            <w:pPr>
              <w:spacing w:after="40" w:before="20"/>
              <w:jc w:val="left"/>
            </w:pPr>
            <w:r>
              <w:rPr>
                <w:rFonts w:ascii="Arial" w:hAnsi="Arial"/>
                <w:sz w:val="18"/>
              </w:rPr>
              <w:t>Endereco</w:t>
            </w:r>
          </w:p>
        </w:tc>
        <w:tc>
          <w:tcPr>
            <w:tcW w:type="dxa" w:w="2353"/>
            <w:vAlign w:val="center"/>
            <w:shd w:val="clear" w:color="auto" w:fill="F3F6FA"/>
            <w:tcMar>
              <w:top w:w="50" w:type="dxa"/>
              <w:bottom w:w="50" w:type="dxa"/>
            </w:tcMar>
          </w:tcPr>
          <w:p>
            <w:pPr>
              <w:spacing w:after="40" w:before="20"/>
              <w:jc w:val="left"/>
            </w:pPr>
            <w:r>
              <w:rPr>
                <w:rFonts w:ascii="Arial" w:hAnsi="Arial"/>
                <w:sz w:val="18"/>
              </w:rPr>
              <w:t>Nova no diagrama reduzido; antes havia atributos de localização distribuídos em áreas/ocorrências.</w:t>
            </w:r>
          </w:p>
        </w:tc>
        <w:tc>
          <w:tcPr>
            <w:tcW w:type="dxa" w:w="2353"/>
            <w:vAlign w:val="center"/>
            <w:shd w:val="clear" w:color="auto" w:fill="F3F6FA"/>
            <w:tcMar>
              <w:top w:w="50" w:type="dxa"/>
              <w:bottom w:w="50" w:type="dxa"/>
            </w:tcMar>
          </w:tcPr>
          <w:p>
            <w:pPr>
              <w:spacing w:after="40" w:before="20"/>
              <w:jc w:val="left"/>
            </w:pPr>
            <w:r>
              <w:rPr>
                <w:rFonts w:ascii="Arial" w:hAnsi="Arial"/>
                <w:sz w:val="18"/>
              </w:rPr>
              <w:t>Representar endereço postal de forma estruturada.</w:t>
            </w:r>
          </w:p>
        </w:tc>
        <w:tc>
          <w:tcPr>
            <w:tcW w:type="dxa" w:w="2353"/>
            <w:vAlign w:val="center"/>
            <w:shd w:val="clear" w:color="auto" w:fill="F3F6FA"/>
            <w:tcMar>
              <w:top w:w="50" w:type="dxa"/>
              <w:bottom w:w="50" w:type="dxa"/>
            </w:tcMar>
          </w:tcPr>
          <w:p>
            <w:pPr>
              <w:spacing w:after="40" w:before="20"/>
              <w:jc w:val="left"/>
            </w:pPr>
            <w:r>
              <w:rPr>
                <w:rFonts w:ascii="Arial" w:hAnsi="Arial"/>
                <w:sz w:val="18"/>
              </w:rPr>
              <w:t>Reduz repetição de logradouro/número/bairro e permite relacionar um endereço a diferentes registros. Validar se endereço do cidadão e local da ocorrência são conceitos distintos.</w:t>
            </w:r>
          </w:p>
        </w:tc>
      </w:tr>
      <w:tr>
        <w:trPr>
          <w:cantSplit/>
        </w:trPr>
        <w:tc>
          <w:tcPr>
            <w:tcW w:type="dxa" w:w="2353"/>
            <w:vAlign w:val="center"/>
            <w:tcMar>
              <w:top w:w="50" w:type="dxa"/>
              <w:bottom w:w="50" w:type="dxa"/>
            </w:tcMar>
          </w:tcPr>
          <w:p>
            <w:pPr>
              <w:spacing w:after="40" w:before="20"/>
              <w:jc w:val="left"/>
            </w:pPr>
            <w:r>
              <w:rPr>
                <w:rFonts w:ascii="Arial" w:hAnsi="Arial"/>
                <w:sz w:val="18"/>
              </w:rPr>
              <w:t>Ocorrencia</w:t>
            </w:r>
          </w:p>
        </w:tc>
        <w:tc>
          <w:tcPr>
            <w:tcW w:type="dxa" w:w="2353"/>
            <w:vAlign w:val="center"/>
            <w:tcMar>
              <w:top w:w="50" w:type="dxa"/>
              <w:bottom w:w="50" w:type="dxa"/>
            </w:tcMar>
          </w:tcPr>
          <w:p>
            <w:pPr>
              <w:spacing w:after="40" w:before="20"/>
              <w:jc w:val="left"/>
            </w:pPr>
            <w:r>
              <w:rPr>
                <w:rFonts w:ascii="Arial" w:hAnsi="Arial"/>
                <w:sz w:val="18"/>
              </w:rPr>
              <w:t>Mantida, com simplificação dos atributos.</w:t>
            </w:r>
          </w:p>
        </w:tc>
        <w:tc>
          <w:tcPr>
            <w:tcW w:type="dxa" w:w="2353"/>
            <w:vAlign w:val="center"/>
            <w:tcMar>
              <w:top w:w="50" w:type="dxa"/>
              <w:bottom w:w="50" w:type="dxa"/>
            </w:tcMar>
          </w:tcPr>
          <w:p>
            <w:pPr>
              <w:spacing w:after="40" w:before="20"/>
              <w:jc w:val="left"/>
            </w:pPr>
            <w:r>
              <w:rPr>
                <w:rFonts w:ascii="Arial" w:hAnsi="Arial"/>
                <w:sz w:val="18"/>
              </w:rPr>
              <w:t>Representar o evento que exige registro e possível atendimento.</w:t>
            </w:r>
          </w:p>
        </w:tc>
        <w:tc>
          <w:tcPr>
            <w:tcW w:type="dxa" w:w="2353"/>
            <w:vAlign w:val="center"/>
            <w:tcMar>
              <w:top w:w="50" w:type="dxa"/>
              <w:bottom w:w="50" w:type="dxa"/>
            </w:tcMar>
          </w:tcPr>
          <w:p>
            <w:pPr>
              <w:spacing w:after="40" w:before="20"/>
              <w:jc w:val="left"/>
            </w:pPr>
            <w:r>
              <w:rPr>
                <w:rFonts w:ascii="Arial" w:hAnsi="Arial"/>
                <w:sz w:val="18"/>
              </w:rPr>
              <w:t>Mantém os dados essenciais ao ciclo da ocorrência; métricas de relatório e dados técnicos secundários podem ficar em módulos próprios.</w:t>
            </w:r>
          </w:p>
        </w:tc>
      </w:tr>
      <w:tr>
        <w:trPr>
          <w:cantSplit/>
        </w:trPr>
        <w:tc>
          <w:tcPr>
            <w:tcW w:type="dxa" w:w="2353"/>
            <w:vAlign w:val="center"/>
            <w:shd w:val="clear" w:color="auto" w:fill="F3F6FA"/>
            <w:tcMar>
              <w:top w:w="50" w:type="dxa"/>
              <w:bottom w:w="50" w:type="dxa"/>
            </w:tcMar>
          </w:tcPr>
          <w:p>
            <w:pPr>
              <w:spacing w:after="40" w:before="20"/>
              <w:jc w:val="left"/>
            </w:pPr>
            <w:r>
              <w:rPr>
                <w:rFonts w:ascii="Arial" w:hAnsi="Arial"/>
                <w:sz w:val="18"/>
              </w:rPr>
              <w:t>Unidade</w:t>
            </w:r>
          </w:p>
        </w:tc>
        <w:tc>
          <w:tcPr>
            <w:tcW w:type="dxa" w:w="2353"/>
            <w:vAlign w:val="center"/>
            <w:shd w:val="clear" w:color="auto" w:fill="F3F6FA"/>
            <w:tcMar>
              <w:top w:w="50" w:type="dxa"/>
              <w:bottom w:w="50" w:type="dxa"/>
            </w:tcMar>
          </w:tcPr>
          <w:p>
            <w:pPr>
              <w:spacing w:after="40" w:before="20"/>
              <w:jc w:val="left"/>
            </w:pPr>
            <w:r>
              <w:rPr>
                <w:rFonts w:ascii="Arial" w:hAnsi="Arial"/>
                <w:sz w:val="18"/>
              </w:rPr>
              <w:t>Mantida, com simplificação dos atributos.</w:t>
            </w:r>
          </w:p>
        </w:tc>
        <w:tc>
          <w:tcPr>
            <w:tcW w:type="dxa" w:w="2353"/>
            <w:vAlign w:val="center"/>
            <w:shd w:val="clear" w:color="auto" w:fill="F3F6FA"/>
            <w:tcMar>
              <w:top w:w="50" w:type="dxa"/>
              <w:bottom w:w="50" w:type="dxa"/>
            </w:tcMar>
          </w:tcPr>
          <w:p>
            <w:pPr>
              <w:spacing w:after="40" w:before="20"/>
              <w:jc w:val="left"/>
            </w:pPr>
            <w:r>
              <w:rPr>
                <w:rFonts w:ascii="Arial" w:hAnsi="Arial"/>
                <w:sz w:val="18"/>
              </w:rPr>
              <w:t>Representar a unidade operacional responsável.</w:t>
            </w:r>
          </w:p>
        </w:tc>
        <w:tc>
          <w:tcPr>
            <w:tcW w:type="dxa" w:w="2353"/>
            <w:vAlign w:val="center"/>
            <w:shd w:val="clear" w:color="auto" w:fill="F3F6FA"/>
            <w:tcMar>
              <w:top w:w="50" w:type="dxa"/>
              <w:bottom w:w="50" w:type="dxa"/>
            </w:tcMar>
          </w:tcPr>
          <w:p>
            <w:pPr>
              <w:spacing w:after="40" w:before="20"/>
              <w:jc w:val="left"/>
            </w:pPr>
            <w:r>
              <w:rPr>
                <w:rFonts w:ascii="Arial" w:hAnsi="Arial"/>
                <w:sz w:val="18"/>
              </w:rPr>
              <w:t>Preserva a entidade organizacional e remove, do núcleo, atributos operacionais/analíticos que não são necessários ao cadastro básico.</w:t>
            </w:r>
          </w:p>
        </w:tc>
      </w:tr>
      <w:tr>
        <w:trPr>
          <w:cantSplit/>
        </w:trPr>
        <w:tc>
          <w:tcPr>
            <w:tcW w:type="dxa" w:w="2353"/>
            <w:vAlign w:val="center"/>
            <w:tcMar>
              <w:top w:w="50" w:type="dxa"/>
              <w:bottom w:w="50" w:type="dxa"/>
            </w:tcMar>
          </w:tcPr>
          <w:p>
            <w:pPr>
              <w:spacing w:after="40" w:before="20"/>
              <w:jc w:val="left"/>
            </w:pPr>
            <w:r>
              <w:rPr>
                <w:rFonts w:ascii="Arial" w:hAnsi="Arial"/>
                <w:sz w:val="18"/>
              </w:rPr>
              <w:t>Viaturas</w:t>
            </w:r>
          </w:p>
        </w:tc>
        <w:tc>
          <w:tcPr>
            <w:tcW w:type="dxa" w:w="2353"/>
            <w:vAlign w:val="center"/>
            <w:tcMar>
              <w:top w:w="50" w:type="dxa"/>
              <w:bottom w:w="50" w:type="dxa"/>
            </w:tcMar>
          </w:tcPr>
          <w:p>
            <w:pPr>
              <w:spacing w:after="40" w:before="20"/>
              <w:jc w:val="left"/>
            </w:pPr>
            <w:r>
              <w:rPr>
                <w:rFonts w:ascii="Arial" w:hAnsi="Arial"/>
                <w:sz w:val="18"/>
              </w:rPr>
              <w:t>Mantida, com simplificação e padronização do status.</w:t>
            </w:r>
          </w:p>
        </w:tc>
        <w:tc>
          <w:tcPr>
            <w:tcW w:type="dxa" w:w="2353"/>
            <w:vAlign w:val="center"/>
            <w:tcMar>
              <w:top w:w="50" w:type="dxa"/>
              <w:bottom w:w="50" w:type="dxa"/>
            </w:tcMar>
          </w:tcPr>
          <w:p>
            <w:pPr>
              <w:spacing w:after="40" w:before="20"/>
              <w:jc w:val="left"/>
            </w:pPr>
            <w:r>
              <w:rPr>
                <w:rFonts w:ascii="Arial" w:hAnsi="Arial"/>
                <w:sz w:val="18"/>
              </w:rPr>
              <w:t>Representar viaturas disponíveis para despacho/atendimento.</w:t>
            </w:r>
          </w:p>
        </w:tc>
        <w:tc>
          <w:tcPr>
            <w:tcW w:type="dxa" w:w="2353"/>
            <w:vAlign w:val="center"/>
            <w:tcMar>
              <w:top w:w="50" w:type="dxa"/>
              <w:bottom w:w="50" w:type="dxa"/>
            </w:tcMar>
          </w:tcPr>
          <w:p>
            <w:pPr>
              <w:spacing w:after="40" w:before="20"/>
              <w:jc w:val="left"/>
            </w:pPr>
            <w:r>
              <w:rPr>
                <w:rFonts w:ascii="Arial" w:hAnsi="Arial"/>
                <w:sz w:val="18"/>
              </w:rPr>
              <w:t>Concentra dados de identificação e estado operacional; detalhes de equipe, manutenção e patrulhamento podem ser modelados em classes específicas se estiverem no escopo.</w:t>
            </w:r>
          </w:p>
        </w:tc>
      </w:tr>
      <w:tr>
        <w:trPr>
          <w:cantSplit/>
        </w:trPr>
        <w:tc>
          <w:tcPr>
            <w:tcW w:type="dxa" w:w="2353"/>
            <w:vAlign w:val="center"/>
            <w:shd w:val="clear" w:color="auto" w:fill="F3F6FA"/>
            <w:tcMar>
              <w:top w:w="50" w:type="dxa"/>
              <w:bottom w:w="50" w:type="dxa"/>
            </w:tcMar>
          </w:tcPr>
          <w:p>
            <w:pPr>
              <w:spacing w:after="40" w:before="20"/>
              <w:jc w:val="left"/>
            </w:pPr>
            <w:r>
              <w:rPr>
                <w:rFonts w:ascii="Arial" w:hAnsi="Arial"/>
                <w:sz w:val="18"/>
              </w:rPr>
              <w:t>Status</w:t>
            </w:r>
          </w:p>
        </w:tc>
        <w:tc>
          <w:tcPr>
            <w:tcW w:type="dxa" w:w="2353"/>
            <w:vAlign w:val="center"/>
            <w:shd w:val="clear" w:color="auto" w:fill="F3F6FA"/>
            <w:tcMar>
              <w:top w:w="50" w:type="dxa"/>
              <w:bottom w:w="50" w:type="dxa"/>
            </w:tcMar>
          </w:tcPr>
          <w:p>
            <w:pPr>
              <w:spacing w:after="40" w:before="20"/>
              <w:jc w:val="left"/>
            </w:pPr>
            <w:r>
              <w:rPr>
                <w:rFonts w:ascii="Arial" w:hAnsi="Arial"/>
                <w:sz w:val="18"/>
              </w:rPr>
              <w:t>Nova enumeração no diagrama reduzido.</w:t>
            </w:r>
          </w:p>
        </w:tc>
        <w:tc>
          <w:tcPr>
            <w:tcW w:type="dxa" w:w="2353"/>
            <w:vAlign w:val="center"/>
            <w:shd w:val="clear" w:color="auto" w:fill="F3F6FA"/>
            <w:tcMar>
              <w:top w:w="50" w:type="dxa"/>
              <w:bottom w:w="50" w:type="dxa"/>
            </w:tcMar>
          </w:tcPr>
          <w:p>
            <w:pPr>
              <w:spacing w:after="40" w:before="20"/>
              <w:jc w:val="left"/>
            </w:pPr>
            <w:r>
              <w:rPr>
                <w:rFonts w:ascii="Arial" w:hAnsi="Arial"/>
                <w:sz w:val="18"/>
              </w:rPr>
              <w:t>Restringir os estados permitidos para viatura.</w:t>
            </w:r>
          </w:p>
        </w:tc>
        <w:tc>
          <w:tcPr>
            <w:tcW w:type="dxa" w:w="2353"/>
            <w:vAlign w:val="center"/>
            <w:shd w:val="clear" w:color="auto" w:fill="F3F6FA"/>
            <w:tcMar>
              <w:top w:w="50" w:type="dxa"/>
              <w:bottom w:w="50" w:type="dxa"/>
            </w:tcMar>
          </w:tcPr>
          <w:p>
            <w:pPr>
              <w:spacing w:after="40" w:before="20"/>
              <w:jc w:val="left"/>
            </w:pPr>
            <w:r>
              <w:rPr>
                <w:rFonts w:ascii="Arial" w:hAnsi="Arial"/>
                <w:sz w:val="18"/>
              </w:rPr>
              <w:t>Evita valores livres inconsistentes e documenta o domínio permitido: Disponível, Em_Atendimento, Em_Deslocamento, Em_Manutencao e Indisponível.</w:t>
            </w:r>
          </w:p>
        </w:tc>
      </w:tr>
    </w:tbl>
    <w:p>
      <w:pPr>
        <w:pStyle w:val="Heading2"/>
      </w:pPr>
      <w:r>
        <w:t>4.2 Classes do legado que não aparecem no modelo reduzido</w:t>
      </w:r>
    </w:p>
    <w:tbl>
      <w:tblPr>
        <w:tblStyle w:val="TableGrid"/>
        <w:jc w:val="center"/>
        <w:tblLayout w:type="fixed"/>
        <w:tblLook w:firstColumn="1" w:firstRow="1" w:lastColumn="0" w:lastRow="0" w:noHBand="0" w:noVBand="1" w:val="04A0"/>
        <w:tblW w:w="9411" w:type="dxa"/>
        <w:tblBorders>
          <w:top w:val="single" w:sz="4" w:color="BFC8D4"/>
          <w:left w:val="single" w:sz="4" w:color="BFC8D4"/>
          <w:bottom w:val="single" w:sz="4" w:color="BFC8D4"/>
          <w:right w:val="single" w:sz="4" w:color="BFC8D4"/>
          <w:insideH w:val="single" w:sz="4" w:color="BFC8D4"/>
          <w:insideV w:val="single" w:sz="4" w:color="BFC8D4"/>
        </w:tblBorders>
      </w:tblPr>
      <w:tblGrid>
        <w:gridCol w:w="3137"/>
        <w:gridCol w:w="3137"/>
        <w:gridCol w:w="3137"/>
      </w:tblGrid>
      <w:tr>
        <w:trPr>
          <w:cantSplit/>
          <w:tblHeader/>
        </w:trPr>
        <w:tc>
          <w:tcPr>
            <w:tcW w:type="dxa" w:w="3137"/>
            <w:vAlign w:val="center"/>
            <w:shd w:val="clear" w:color="auto" w:fill="1F3A5F"/>
            <w:tcMar>
              <w:top w:w="50" w:type="dxa"/>
              <w:bottom w:w="50" w:type="dxa"/>
            </w:tcMar>
          </w:tcPr>
          <w:p>
            <w:pPr>
              <w:spacing w:after="40" w:before="20"/>
              <w:jc w:val="left"/>
            </w:pPr>
            <w:r>
              <w:rPr>
                <w:rFonts w:ascii="Arial" w:hAnsi="Arial"/>
                <w:b/>
                <w:color w:val="FFFFFF"/>
                <w:sz w:val="18"/>
              </w:rPr>
              <w:t>Classe/entidade legada</w:t>
            </w:r>
          </w:p>
        </w:tc>
        <w:tc>
          <w:tcPr>
            <w:tcW w:type="dxa" w:w="3137"/>
            <w:vAlign w:val="center"/>
            <w:shd w:val="clear" w:color="auto" w:fill="1F3A5F"/>
            <w:tcMar>
              <w:top w:w="50" w:type="dxa"/>
              <w:bottom w:w="50" w:type="dxa"/>
            </w:tcMar>
          </w:tcPr>
          <w:p>
            <w:pPr>
              <w:spacing w:after="40" w:before="20"/>
              <w:jc w:val="left"/>
            </w:pPr>
            <w:r>
              <w:rPr>
                <w:rFonts w:ascii="Arial" w:hAnsi="Arial"/>
                <w:b/>
                <w:color w:val="FFFFFF"/>
                <w:sz w:val="18"/>
              </w:rPr>
              <w:t>Tratamento no diagrama reduzido</w:t>
            </w:r>
          </w:p>
        </w:tc>
        <w:tc>
          <w:tcPr>
            <w:tcW w:type="dxa" w:w="3137"/>
            <w:vAlign w:val="center"/>
            <w:shd w:val="clear" w:color="auto" w:fill="1F3A5F"/>
            <w:tcMar>
              <w:top w:w="50" w:type="dxa"/>
              <w:bottom w:w="50" w:type="dxa"/>
            </w:tcMar>
          </w:tcPr>
          <w:p>
            <w:pPr>
              <w:spacing w:after="40" w:before="20"/>
              <w:jc w:val="left"/>
            </w:pPr>
            <w:r>
              <w:rPr>
                <w:rFonts w:ascii="Arial" w:hAnsi="Arial"/>
                <w:b/>
                <w:color w:val="FFFFFF"/>
                <w:sz w:val="18"/>
              </w:rPr>
              <w:t>Justificativa possível e ressalva</w:t>
            </w:r>
          </w:p>
        </w:tc>
      </w:tr>
      <w:tr>
        <w:trPr>
          <w:cantSplit/>
        </w:trPr>
        <w:tc>
          <w:tcPr>
            <w:tcW w:type="dxa" w:w="3137"/>
            <w:vAlign w:val="center"/>
            <w:tcMar>
              <w:top w:w="50" w:type="dxa"/>
              <w:bottom w:w="50" w:type="dxa"/>
            </w:tcMar>
          </w:tcPr>
          <w:p>
            <w:pPr>
              <w:spacing w:after="40" w:before="20"/>
              <w:jc w:val="left"/>
            </w:pPr>
            <w:r>
              <w:rPr>
                <w:rFonts w:ascii="Arial" w:hAnsi="Arial"/>
                <w:sz w:val="18"/>
              </w:rPr>
              <w:t>chamados</w:t>
            </w:r>
          </w:p>
        </w:tc>
        <w:tc>
          <w:tcPr>
            <w:tcW w:type="dxa" w:w="3137"/>
            <w:vAlign w:val="center"/>
            <w:tcMar>
              <w:top w:w="50" w:type="dxa"/>
              <w:bottom w:w="50" w:type="dxa"/>
            </w:tcMar>
          </w:tcPr>
          <w:p>
            <w:pPr>
              <w:spacing w:after="40" w:before="20"/>
              <w:jc w:val="left"/>
            </w:pPr>
            <w:r>
              <w:rPr>
                <w:rFonts w:ascii="Arial" w:hAnsi="Arial"/>
                <w:sz w:val="18"/>
              </w:rPr>
              <w:t>Não aparece como classe separada; parte do conceito pode ter sido absorvida por Ocorrencia.</w:t>
            </w:r>
          </w:p>
        </w:tc>
        <w:tc>
          <w:tcPr>
            <w:tcW w:type="dxa" w:w="3137"/>
            <w:vAlign w:val="center"/>
            <w:tcMar>
              <w:top w:w="50" w:type="dxa"/>
              <w:bottom w:w="50" w:type="dxa"/>
            </w:tcMar>
          </w:tcPr>
          <w:p>
            <w:pPr>
              <w:spacing w:after="40" w:before="20"/>
              <w:jc w:val="left"/>
            </w:pPr>
            <w:r>
              <w:rPr>
                <w:rFonts w:ascii="Arial" w:hAnsi="Arial"/>
                <w:sz w:val="18"/>
              </w:rPr>
              <w:t>Evita representar o mesmo evento em duas entidades se chamado e ocorrência forem etapas do mesmo processo. Confirmar se chamada e ocorrência têm ciclo de vida distinto; se tiverem, a classe Chamado deve ser mantida.</w:t>
            </w:r>
          </w:p>
        </w:tc>
      </w:tr>
      <w:tr>
        <w:trPr>
          <w:cantSplit/>
        </w:trPr>
        <w:tc>
          <w:tcPr>
            <w:tcW w:type="dxa" w:w="3137"/>
            <w:vAlign w:val="center"/>
            <w:shd w:val="clear" w:color="auto" w:fill="F3F6FA"/>
            <w:tcMar>
              <w:top w:w="50" w:type="dxa"/>
              <w:bottom w:w="50" w:type="dxa"/>
            </w:tcMar>
          </w:tcPr>
          <w:p>
            <w:pPr>
              <w:spacing w:after="40" w:before="20"/>
              <w:jc w:val="left"/>
            </w:pPr>
            <w:r>
              <w:rPr>
                <w:rFonts w:ascii="Arial" w:hAnsi="Arial"/>
                <w:sz w:val="18"/>
              </w:rPr>
              <w:t>areas</w:t>
            </w:r>
          </w:p>
        </w:tc>
        <w:tc>
          <w:tcPr>
            <w:tcW w:type="dxa" w:w="3137"/>
            <w:vAlign w:val="center"/>
            <w:shd w:val="clear" w:color="auto" w:fill="F3F6FA"/>
            <w:tcMar>
              <w:top w:w="50" w:type="dxa"/>
              <w:bottom w:w="50" w:type="dxa"/>
            </w:tcMar>
          </w:tcPr>
          <w:p>
            <w:pPr>
              <w:spacing w:after="40" w:before="20"/>
              <w:jc w:val="left"/>
            </w:pPr>
            <w:r>
              <w:rPr>
                <w:rFonts w:ascii="Arial" w:hAnsi="Arial"/>
                <w:sz w:val="18"/>
              </w:rPr>
              <w:t>Não aparece.</w:t>
            </w:r>
          </w:p>
        </w:tc>
        <w:tc>
          <w:tcPr>
            <w:tcW w:type="dxa" w:w="3137"/>
            <w:vAlign w:val="center"/>
            <w:shd w:val="clear" w:color="auto" w:fill="F3F6FA"/>
            <w:tcMar>
              <w:top w:w="50" w:type="dxa"/>
              <w:bottom w:w="50" w:type="dxa"/>
            </w:tcMar>
          </w:tcPr>
          <w:p>
            <w:pPr>
              <w:spacing w:after="40" w:before="20"/>
              <w:jc w:val="left"/>
            </w:pPr>
            <w:r>
              <w:rPr>
                <w:rFonts w:ascii="Arial" w:hAnsi="Arial"/>
                <w:sz w:val="18"/>
              </w:rPr>
              <w:t>Pode ter sido retirada para simplificar o núcleo ou porque o endereço/localização atende ao escopo atual. Se áreas tiverem limites geográficos, população, risco ou vulnerabilidade, devem ser preservadas como entidade própria.</w:t>
            </w:r>
          </w:p>
        </w:tc>
      </w:tr>
      <w:tr>
        <w:trPr>
          <w:cantSplit/>
        </w:trPr>
        <w:tc>
          <w:tcPr>
            <w:tcW w:type="dxa" w:w="3137"/>
            <w:vAlign w:val="center"/>
            <w:tcMar>
              <w:top w:w="50" w:type="dxa"/>
              <w:bottom w:w="50" w:type="dxa"/>
            </w:tcMar>
          </w:tcPr>
          <w:p>
            <w:pPr>
              <w:spacing w:after="40" w:before="20"/>
              <w:jc w:val="left"/>
            </w:pPr>
            <w:r>
              <w:rPr>
                <w:rFonts w:ascii="Arial" w:hAnsi="Arial"/>
                <w:sz w:val="18"/>
              </w:rPr>
              <w:t>patrulhamento</w:t>
            </w:r>
          </w:p>
        </w:tc>
        <w:tc>
          <w:tcPr>
            <w:tcW w:type="dxa" w:w="3137"/>
            <w:vAlign w:val="center"/>
            <w:tcMar>
              <w:top w:w="50" w:type="dxa"/>
              <w:bottom w:w="50" w:type="dxa"/>
            </w:tcMar>
          </w:tcPr>
          <w:p>
            <w:pPr>
              <w:spacing w:after="40" w:before="20"/>
              <w:jc w:val="left"/>
            </w:pPr>
            <w:r>
              <w:rPr>
                <w:rFonts w:ascii="Arial" w:hAnsi="Arial"/>
                <w:sz w:val="18"/>
              </w:rPr>
              <w:t>Não aparece.</w:t>
            </w:r>
          </w:p>
        </w:tc>
        <w:tc>
          <w:tcPr>
            <w:tcW w:type="dxa" w:w="3137"/>
            <w:vAlign w:val="center"/>
            <w:tcMar>
              <w:top w:w="50" w:type="dxa"/>
              <w:bottom w:w="50" w:type="dxa"/>
            </w:tcMar>
          </w:tcPr>
          <w:p>
            <w:pPr>
              <w:spacing w:after="40" w:before="20"/>
              <w:jc w:val="left"/>
            </w:pPr>
            <w:r>
              <w:rPr>
                <w:rFonts w:ascii="Arial" w:hAnsi="Arial"/>
                <w:sz w:val="18"/>
              </w:rPr>
              <w:t>Atividade operacional periódica, potencialmente fora do fluxo mínimo de registro de ocorrência. Reintroduzir se o sistema precisar planejar/registrar rondas e quilometragem.</w:t>
            </w:r>
          </w:p>
        </w:tc>
      </w:tr>
      <w:tr>
        <w:trPr>
          <w:cantSplit/>
        </w:trPr>
        <w:tc>
          <w:tcPr>
            <w:tcW w:type="dxa" w:w="3137"/>
            <w:vAlign w:val="center"/>
            <w:shd w:val="clear" w:color="auto" w:fill="F3F6FA"/>
            <w:tcMar>
              <w:top w:w="50" w:type="dxa"/>
              <w:bottom w:w="50" w:type="dxa"/>
            </w:tcMar>
          </w:tcPr>
          <w:p>
            <w:pPr>
              <w:spacing w:after="40" w:before="20"/>
              <w:jc w:val="left"/>
            </w:pPr>
            <w:r>
              <w:rPr>
                <w:rFonts w:ascii="Arial" w:hAnsi="Arial"/>
                <w:sz w:val="18"/>
              </w:rPr>
              <w:t>acoes_preventivas</w:t>
            </w:r>
          </w:p>
        </w:tc>
        <w:tc>
          <w:tcPr>
            <w:tcW w:type="dxa" w:w="3137"/>
            <w:vAlign w:val="center"/>
            <w:shd w:val="clear" w:color="auto" w:fill="F3F6FA"/>
            <w:tcMar>
              <w:top w:w="50" w:type="dxa"/>
              <w:bottom w:w="50" w:type="dxa"/>
            </w:tcMar>
          </w:tcPr>
          <w:p>
            <w:pPr>
              <w:spacing w:after="40" w:before="20"/>
              <w:jc w:val="left"/>
            </w:pPr>
            <w:r>
              <w:rPr>
                <w:rFonts w:ascii="Arial" w:hAnsi="Arial"/>
                <w:sz w:val="18"/>
              </w:rPr>
              <w:t>Não aparece.</w:t>
            </w:r>
          </w:p>
        </w:tc>
        <w:tc>
          <w:tcPr>
            <w:tcW w:type="dxa" w:w="3137"/>
            <w:vAlign w:val="center"/>
            <w:shd w:val="clear" w:color="auto" w:fill="F3F6FA"/>
            <w:tcMar>
              <w:top w:w="50" w:type="dxa"/>
              <w:bottom w:w="50" w:type="dxa"/>
            </w:tcMar>
          </w:tcPr>
          <w:p>
            <w:pPr>
              <w:spacing w:after="40" w:before="20"/>
              <w:jc w:val="left"/>
            </w:pPr>
            <w:r>
              <w:rPr>
                <w:rFonts w:ascii="Arial" w:hAnsi="Arial"/>
                <w:sz w:val="18"/>
              </w:rPr>
              <w:t>Representa ação distinta de uma ocorrência. A exclusão só é adequada se ações preventivas estiverem fora do escopo desta versão.</w:t>
            </w:r>
          </w:p>
        </w:tc>
      </w:tr>
      <w:tr>
        <w:trPr>
          <w:cantSplit/>
        </w:trPr>
        <w:tc>
          <w:tcPr>
            <w:tcW w:type="dxa" w:w="3137"/>
            <w:vAlign w:val="center"/>
            <w:tcMar>
              <w:top w:w="50" w:type="dxa"/>
              <w:bottom w:w="50" w:type="dxa"/>
            </w:tcMar>
          </w:tcPr>
          <w:p>
            <w:pPr>
              <w:spacing w:after="40" w:before="20"/>
              <w:jc w:val="left"/>
            </w:pPr>
            <w:r>
              <w:rPr>
                <w:rFonts w:ascii="Arial" w:hAnsi="Arial"/>
                <w:sz w:val="18"/>
              </w:rPr>
              <w:t>equipes</w:t>
            </w:r>
          </w:p>
        </w:tc>
        <w:tc>
          <w:tcPr>
            <w:tcW w:type="dxa" w:w="3137"/>
            <w:vAlign w:val="center"/>
            <w:tcMar>
              <w:top w:w="50" w:type="dxa"/>
              <w:bottom w:w="50" w:type="dxa"/>
            </w:tcMar>
          </w:tcPr>
          <w:p>
            <w:pPr>
              <w:spacing w:after="40" w:before="20"/>
              <w:jc w:val="left"/>
            </w:pPr>
            <w:r>
              <w:rPr>
                <w:rFonts w:ascii="Arial" w:hAnsi="Arial"/>
                <w:sz w:val="18"/>
              </w:rPr>
              <w:t>Não aparece como classe separada.</w:t>
            </w:r>
          </w:p>
        </w:tc>
        <w:tc>
          <w:tcPr>
            <w:tcW w:type="dxa" w:w="3137"/>
            <w:vAlign w:val="center"/>
            <w:tcMar>
              <w:top w:w="50" w:type="dxa"/>
              <w:bottom w:w="50" w:type="dxa"/>
            </w:tcMar>
          </w:tcPr>
          <w:p>
            <w:pPr>
              <w:spacing w:after="40" w:before="20"/>
              <w:jc w:val="left"/>
            </w:pPr>
            <w:r>
              <w:rPr>
                <w:rFonts w:ascii="Arial" w:hAnsi="Arial"/>
                <w:sz w:val="18"/>
              </w:rPr>
              <w:t>A composição de equipes pode ser considerada detalhe operacional posterior. Se houver escalas, integrantes, lotação ou atribuição de equipe a viatura, a classe é necessária.</w:t>
            </w:r>
          </w:p>
        </w:tc>
      </w:tr>
      <w:tr>
        <w:trPr>
          <w:cantSplit/>
        </w:trPr>
        <w:tc>
          <w:tcPr>
            <w:tcW w:type="dxa" w:w="3137"/>
            <w:vAlign w:val="center"/>
            <w:shd w:val="clear" w:color="auto" w:fill="F3F6FA"/>
            <w:tcMar>
              <w:top w:w="50" w:type="dxa"/>
              <w:bottom w:w="50" w:type="dxa"/>
            </w:tcMar>
          </w:tcPr>
          <w:p>
            <w:pPr>
              <w:spacing w:after="40" w:before="20"/>
              <w:jc w:val="left"/>
            </w:pPr>
            <w:r>
              <w:rPr>
                <w:rFonts w:ascii="Arial" w:hAnsi="Arial"/>
                <w:sz w:val="18"/>
              </w:rPr>
              <w:t>indicadores_mensais</w:t>
            </w:r>
          </w:p>
        </w:tc>
        <w:tc>
          <w:tcPr>
            <w:tcW w:type="dxa" w:w="3137"/>
            <w:vAlign w:val="center"/>
            <w:shd w:val="clear" w:color="auto" w:fill="F3F6FA"/>
            <w:tcMar>
              <w:top w:w="50" w:type="dxa"/>
              <w:bottom w:w="50" w:type="dxa"/>
            </w:tcMar>
          </w:tcPr>
          <w:p>
            <w:pPr>
              <w:spacing w:after="40" w:before="20"/>
              <w:jc w:val="left"/>
            </w:pPr>
            <w:r>
              <w:rPr>
                <w:rFonts w:ascii="Arial" w:hAnsi="Arial"/>
                <w:sz w:val="18"/>
              </w:rPr>
              <w:t>Não aparece.</w:t>
            </w:r>
          </w:p>
        </w:tc>
        <w:tc>
          <w:tcPr>
            <w:tcW w:type="dxa" w:w="3137"/>
            <w:vAlign w:val="center"/>
            <w:shd w:val="clear" w:color="auto" w:fill="F3F6FA"/>
            <w:tcMar>
              <w:top w:w="50" w:type="dxa"/>
              <w:bottom w:w="50" w:type="dxa"/>
            </w:tcMar>
          </w:tcPr>
          <w:p>
            <w:pPr>
              <w:spacing w:after="40" w:before="20"/>
              <w:jc w:val="left"/>
            </w:pPr>
            <w:r>
              <w:rPr>
                <w:rFonts w:ascii="Arial" w:hAnsi="Arial"/>
                <w:sz w:val="18"/>
              </w:rPr>
              <w:t>É uma estrutura agregada de análise/relatórios, não necessariamente uma entidade transacional. Pode ser substituída por consultas, views ou camada analítica, desde que métricas históricas não precisem ser armazenadas como snapshot.</w:t>
            </w:r>
          </w:p>
        </w:tc>
      </w:tr>
      <w:tr>
        <w:trPr>
          <w:cantSplit/>
        </w:trPr>
        <w:tc>
          <w:tcPr>
            <w:tcW w:type="dxa" w:w="3137"/>
            <w:vAlign w:val="center"/>
            <w:tcMar>
              <w:top w:w="50" w:type="dxa"/>
              <w:bottom w:w="50" w:type="dxa"/>
            </w:tcMar>
          </w:tcPr>
          <w:p>
            <w:pPr>
              <w:spacing w:after="40" w:before="20"/>
              <w:jc w:val="left"/>
            </w:pPr>
            <w:r>
              <w:rPr>
                <w:rFonts w:ascii="Arial" w:hAnsi="Arial"/>
                <w:sz w:val="18"/>
              </w:rPr>
              <w:t>dicionario_dados</w:t>
            </w:r>
          </w:p>
        </w:tc>
        <w:tc>
          <w:tcPr>
            <w:tcW w:type="dxa" w:w="3137"/>
            <w:vAlign w:val="center"/>
            <w:tcMar>
              <w:top w:w="50" w:type="dxa"/>
              <w:bottom w:w="50" w:type="dxa"/>
            </w:tcMar>
          </w:tcPr>
          <w:p>
            <w:pPr>
              <w:spacing w:after="40" w:before="20"/>
              <w:jc w:val="left"/>
            </w:pPr>
            <w:r>
              <w:rPr>
                <w:rFonts w:ascii="Arial" w:hAnsi="Arial"/>
                <w:sz w:val="18"/>
              </w:rPr>
              <w:t>Não aparece.</w:t>
            </w:r>
          </w:p>
        </w:tc>
        <w:tc>
          <w:tcPr>
            <w:tcW w:type="dxa" w:w="3137"/>
            <w:vAlign w:val="center"/>
            <w:tcMar>
              <w:top w:w="50" w:type="dxa"/>
              <w:bottom w:w="50" w:type="dxa"/>
            </w:tcMar>
          </w:tcPr>
          <w:p>
            <w:pPr>
              <w:spacing w:after="40" w:before="20"/>
              <w:jc w:val="left"/>
            </w:pPr>
            <w:r>
              <w:rPr>
                <w:rFonts w:ascii="Arial" w:hAnsi="Arial"/>
                <w:sz w:val="18"/>
              </w:rPr>
              <w:t>É metadado/documentação do banco, não uma entidade central do domínio. Pode ficar em documentação técnica ou catálogo de dados.</w:t>
            </w:r>
          </w:p>
        </w:tc>
      </w:tr>
    </w:tbl>
    <w:p>
      <w:pPr>
        <w:pStyle w:val="Heading2"/>
      </w:pPr>
      <w:r>
        <w:t>4.3 Alterações de atributos e respectivas justificativas</w:t>
      </w:r>
    </w:p>
    <w:tbl>
      <w:tblPr>
        <w:tblStyle w:val="TableGrid"/>
        <w:tblLayout w:type="fixed"/>
        <w:tblLook w:firstColumn="1" w:firstRow="1" w:lastColumn="0" w:lastRow="0" w:noHBand="0" w:noVBand="1" w:val="04A0"/>
        <w:tblW w:w="9411" w:type="dxa"/>
        <w:tblBorders>
          <w:top w:val="single" w:sz="4" w:color="BFC8D4"/>
          <w:left w:val="single" w:sz="4" w:color="BFC8D4"/>
          <w:bottom w:val="single" w:sz="4" w:color="BFC8D4"/>
          <w:right w:val="single" w:sz="4" w:color="BFC8D4"/>
          <w:insideH w:val="single" w:sz="4" w:color="BFC8D4"/>
          <w:insideV w:val="single" w:sz="4" w:color="BFC8D4"/>
        </w:tblBorders>
      </w:tblPr>
      <w:tblGrid>
        <w:gridCol w:w="3137"/>
        <w:gridCol w:w="3137"/>
        <w:gridCol w:w="3137"/>
      </w:tblGrid>
      <w:tr>
        <w:trPr>
          <w:cantSplit/>
          <w:tblHeader/>
        </w:trPr>
        <w:tc>
          <w:tcPr>
            <w:tcW w:type="dxa" w:w="3137"/>
            <w:vAlign w:val="center"/>
            <w:shd w:val="clear" w:color="auto" w:fill="1F3A5F"/>
            <w:tcMar>
              <w:top w:w="50" w:type="dxa"/>
              <w:bottom w:w="50" w:type="dxa"/>
            </w:tcMar>
          </w:tcPr>
          <w:p>
            <w:pPr>
              <w:spacing w:after="40" w:before="20"/>
              <w:jc w:val="left"/>
            </w:pPr>
            <w:r>
              <w:rPr>
                <w:rFonts w:ascii="Arial" w:hAnsi="Arial"/>
                <w:b/>
                <w:color w:val="FFFFFF"/>
                <w:sz w:val="18"/>
              </w:rPr>
              <w:t>Classe</w:t>
            </w:r>
          </w:p>
        </w:tc>
        <w:tc>
          <w:tcPr>
            <w:tcW w:type="dxa" w:w="3137"/>
            <w:vAlign w:val="center"/>
            <w:shd w:val="clear" w:color="auto" w:fill="1F3A5F"/>
            <w:tcMar>
              <w:top w:w="50" w:type="dxa"/>
              <w:bottom w:w="50" w:type="dxa"/>
            </w:tcMar>
          </w:tcPr>
          <w:p>
            <w:pPr>
              <w:spacing w:after="40" w:before="20"/>
              <w:jc w:val="left"/>
            </w:pPr>
            <w:r>
              <w:rPr>
                <w:rFonts w:ascii="Arial" w:hAnsi="Arial"/>
                <w:b/>
                <w:color w:val="FFFFFF"/>
                <w:sz w:val="18"/>
              </w:rPr>
              <w:t>Alteração observada</w:t>
            </w:r>
          </w:p>
        </w:tc>
        <w:tc>
          <w:tcPr>
            <w:tcW w:type="dxa" w:w="3137"/>
            <w:vAlign w:val="center"/>
            <w:shd w:val="clear" w:color="auto" w:fill="1F3A5F"/>
            <w:tcMar>
              <w:top w:w="50" w:type="dxa"/>
              <w:bottom w:w="50" w:type="dxa"/>
            </w:tcMar>
          </w:tcPr>
          <w:p>
            <w:pPr>
              <w:spacing w:after="40" w:before="20"/>
              <w:jc w:val="left"/>
            </w:pPr>
            <w:r>
              <w:rPr>
                <w:rFonts w:ascii="Arial" w:hAnsi="Arial"/>
                <w:b/>
                <w:color w:val="FFFFFF"/>
                <w:sz w:val="18"/>
              </w:rPr>
              <w:t>Justificativa técnica</w:t>
            </w:r>
          </w:p>
        </w:tc>
      </w:tr>
      <w:tr>
        <w:trPr>
          <w:cantSplit/>
        </w:trPr>
        <w:tc>
          <w:tcPr>
            <w:tcW w:type="dxa" w:w="3137"/>
            <w:vAlign w:val="center"/>
            <w:tcMar>
              <w:top w:w="50" w:type="dxa"/>
              <w:bottom w:w="50" w:type="dxa"/>
            </w:tcMar>
          </w:tcPr>
          <w:p>
            <w:pPr>
              <w:spacing w:after="40" w:before="20"/>
              <w:jc w:val="left"/>
            </w:pPr>
            <w:r>
              <w:rPr>
                <w:rFonts w:ascii="Arial" w:hAnsi="Arial"/>
                <w:sz w:val="18"/>
              </w:rPr>
              <w:t>Cidadao</w:t>
            </w:r>
          </w:p>
        </w:tc>
        <w:tc>
          <w:tcPr>
            <w:tcW w:type="dxa" w:w="3137"/>
            <w:vAlign w:val="center"/>
            <w:tcMar>
              <w:top w:w="50" w:type="dxa"/>
              <w:bottom w:w="50" w:type="dxa"/>
            </w:tcMar>
          </w:tcPr>
          <w:p>
            <w:pPr>
              <w:spacing w:after="40" w:before="20"/>
              <w:jc w:val="left"/>
            </w:pPr>
            <w:r>
              <w:rPr>
                <w:rFonts w:ascii="Arial" w:hAnsi="Arial"/>
                <w:sz w:val="18"/>
              </w:rPr>
              <w:t>Atributos id_cidadao, nome, CPF, telefone e e-mail foram introduzidos.</w:t>
            </w:r>
          </w:p>
        </w:tc>
        <w:tc>
          <w:tcPr>
            <w:tcW w:type="dxa" w:w="3137"/>
            <w:vAlign w:val="center"/>
            <w:tcMar>
              <w:top w:w="50" w:type="dxa"/>
              <w:bottom w:w="50" w:type="dxa"/>
            </w:tcMar>
          </w:tcPr>
          <w:p>
            <w:pPr>
              <w:spacing w:after="40" w:before="20"/>
              <w:jc w:val="left"/>
            </w:pPr>
            <w:r>
              <w:rPr>
                <w:rFonts w:ascii="Arial" w:hAnsi="Arial"/>
                <w:sz w:val="18"/>
              </w:rPr>
              <w:t>Atributos de identificação e contato ficam agrupados na entidade que os possui, evitando duplicação em chamados/ocorrências.</w:t>
            </w:r>
          </w:p>
        </w:tc>
      </w:tr>
      <w:tr>
        <w:trPr>
          <w:cantSplit/>
        </w:trPr>
        <w:tc>
          <w:tcPr>
            <w:tcW w:type="dxa" w:w="3137"/>
            <w:vAlign w:val="center"/>
            <w:shd w:val="clear" w:color="auto" w:fill="F3F6FA"/>
            <w:tcMar>
              <w:top w:w="50" w:type="dxa"/>
              <w:bottom w:w="50" w:type="dxa"/>
            </w:tcMar>
          </w:tcPr>
          <w:p>
            <w:pPr>
              <w:spacing w:after="40" w:before="20"/>
              <w:jc w:val="left"/>
            </w:pPr>
            <w:r>
              <w:rPr>
                <w:rFonts w:ascii="Arial" w:hAnsi="Arial"/>
                <w:sz w:val="18"/>
              </w:rPr>
              <w:t>Endereco</w:t>
            </w:r>
          </w:p>
        </w:tc>
        <w:tc>
          <w:tcPr>
            <w:tcW w:type="dxa" w:w="3137"/>
            <w:vAlign w:val="center"/>
            <w:shd w:val="clear" w:color="auto" w:fill="F3F6FA"/>
            <w:tcMar>
              <w:top w:w="50" w:type="dxa"/>
              <w:bottom w:w="50" w:type="dxa"/>
            </w:tcMar>
          </w:tcPr>
          <w:p>
            <w:pPr>
              <w:spacing w:after="40" w:before="20"/>
              <w:jc w:val="left"/>
            </w:pPr>
            <w:r>
              <w:rPr>
                <w:rFonts w:ascii="Arial" w:hAnsi="Arial"/>
                <w:sz w:val="18"/>
              </w:rPr>
              <w:t>Atributos id_endereco, logradouro, número e bairro foram introduzidos.</w:t>
            </w:r>
          </w:p>
        </w:tc>
        <w:tc>
          <w:tcPr>
            <w:tcW w:type="dxa" w:w="3137"/>
            <w:vAlign w:val="center"/>
            <w:shd w:val="clear" w:color="auto" w:fill="F3F6FA"/>
            <w:tcMar>
              <w:top w:w="50" w:type="dxa"/>
              <w:bottom w:w="50" w:type="dxa"/>
            </w:tcMar>
          </w:tcPr>
          <w:p>
            <w:pPr>
              <w:spacing w:after="40" w:before="20"/>
              <w:jc w:val="left"/>
            </w:pPr>
            <w:r>
              <w:rPr>
                <w:rFonts w:ascii="Arial" w:hAnsi="Arial"/>
                <w:sz w:val="18"/>
              </w:rPr>
              <w:t>Estrutura o endereço em campos consultáveis e reduz localização como texto livre. O modelo poderá exigir complemento, cidade, UF e CEP conforme os requisitos.</w:t>
            </w:r>
          </w:p>
        </w:tc>
      </w:tr>
      <w:tr>
        <w:trPr>
          <w:cantSplit/>
        </w:trPr>
        <w:tc>
          <w:tcPr>
            <w:tcW w:type="dxa" w:w="3137"/>
            <w:vAlign w:val="center"/>
            <w:tcMar>
              <w:top w:w="50" w:type="dxa"/>
              <w:bottom w:w="50" w:type="dxa"/>
            </w:tcMar>
          </w:tcPr>
          <w:p>
            <w:pPr>
              <w:spacing w:after="40" w:before="20"/>
              <w:jc w:val="left"/>
            </w:pPr>
            <w:r>
              <w:rPr>
                <w:rFonts w:ascii="Arial" w:hAnsi="Arial"/>
                <w:sz w:val="18"/>
              </w:rPr>
              <w:t>Ocorrencia</w:t>
            </w:r>
          </w:p>
        </w:tc>
        <w:tc>
          <w:tcPr>
            <w:tcW w:type="dxa" w:w="3137"/>
            <w:vAlign w:val="center"/>
            <w:tcMar>
              <w:top w:w="50" w:type="dxa"/>
              <w:bottom w:w="50" w:type="dxa"/>
            </w:tcMar>
          </w:tcPr>
          <w:p>
            <w:pPr>
              <w:spacing w:after="40" w:before="20"/>
              <w:jc w:val="left"/>
            </w:pPr>
            <w:r>
              <w:rPr>
                <w:rFonts w:ascii="Arial" w:hAnsi="Arial"/>
                <w:sz w:val="18"/>
              </w:rPr>
              <w:t>Foram mantidos id_ocorrencia, data/hora, tipo, prioridade, status e localização; foram retirados diversos campos do legado, como ano, mês, trimestre, dia_semana, hora_registro, período_dia, canal_registro, status_responsável, tempo_resposta_min, tempo_atendimento_min, geolocalização detalhada e longitude/latitude.</w:t>
            </w:r>
          </w:p>
        </w:tc>
        <w:tc>
          <w:tcPr>
            <w:tcW w:type="dxa" w:w="3137"/>
            <w:vAlign w:val="center"/>
            <w:tcMar>
              <w:top w:w="50" w:type="dxa"/>
              <w:bottom w:w="50" w:type="dxa"/>
            </w:tcMar>
          </w:tcPr>
          <w:p>
            <w:pPr>
              <w:spacing w:after="40" w:before="20"/>
              <w:jc w:val="left"/>
            </w:pPr>
            <w:r>
              <w:rPr>
                <w:rFonts w:ascii="Arial" w:hAnsi="Arial"/>
                <w:sz w:val="18"/>
              </w:rPr>
              <w:t>Ano/mês/trimestre/dia da semana e período podem ser derivados da data/hora. Campos de resposta e atendimento são úteis para SLA e auditoria, então só devem ser removidos se não forem requisitos; coordenadas podem ser necessárias para despacho e análise espacial.</w:t>
            </w:r>
          </w:p>
        </w:tc>
      </w:tr>
      <w:tr>
        <w:trPr>
          <w:cantSplit/>
        </w:trPr>
        <w:tc>
          <w:tcPr>
            <w:tcW w:type="dxa" w:w="3137"/>
            <w:vAlign w:val="center"/>
            <w:shd w:val="clear" w:color="auto" w:fill="F3F6FA"/>
            <w:tcMar>
              <w:top w:w="50" w:type="dxa"/>
              <w:bottom w:w="50" w:type="dxa"/>
            </w:tcMar>
          </w:tcPr>
          <w:p>
            <w:pPr>
              <w:spacing w:after="40" w:before="20"/>
              <w:jc w:val="left"/>
            </w:pPr>
            <w:r>
              <w:rPr>
                <w:rFonts w:ascii="Arial" w:hAnsi="Arial"/>
                <w:sz w:val="18"/>
              </w:rPr>
              <w:t>Unidade</w:t>
            </w:r>
          </w:p>
        </w:tc>
        <w:tc>
          <w:tcPr>
            <w:tcW w:type="dxa" w:w="3137"/>
            <w:vAlign w:val="center"/>
            <w:shd w:val="clear" w:color="auto" w:fill="F3F6FA"/>
            <w:tcMar>
              <w:top w:w="50" w:type="dxa"/>
              <w:bottom w:w="50" w:type="dxa"/>
            </w:tcMar>
          </w:tcPr>
          <w:p>
            <w:pPr>
              <w:spacing w:after="40" w:before="20"/>
              <w:jc w:val="left"/>
            </w:pPr>
            <w:r>
              <w:rPr>
                <w:rFonts w:ascii="Arial" w:hAnsi="Arial"/>
                <w:sz w:val="18"/>
              </w:rPr>
              <w:t>Mantidos id, nome e população estimada; não aparecem região, cidade, estado, status da unidade, efetivo total, viaturas disponíveis e ano de instalação.</w:t>
            </w:r>
          </w:p>
        </w:tc>
        <w:tc>
          <w:tcPr>
            <w:tcW w:type="dxa" w:w="3137"/>
            <w:vAlign w:val="center"/>
            <w:shd w:val="clear" w:color="auto" w:fill="F3F6FA"/>
            <w:tcMar>
              <w:top w:w="50" w:type="dxa"/>
              <w:bottom w:w="50" w:type="dxa"/>
            </w:tcMar>
          </w:tcPr>
          <w:p>
            <w:pPr>
              <w:spacing w:after="40" w:before="20"/>
              <w:jc w:val="left"/>
            </w:pPr>
            <w:r>
              <w:rPr>
                <w:rFonts w:ascii="Arial" w:hAnsi="Arial"/>
                <w:sz w:val="18"/>
              </w:rPr>
              <w:t>Reduz a classe ao cadastro mínimo. Status, efetivo e viaturas disponíveis podem ser derivados ou pertencem a relações operacionais; região/cidade/estado e ano de instalação devem ser preservados se necessários para gestão e relatórios.</w:t>
            </w:r>
          </w:p>
        </w:tc>
      </w:tr>
      <w:tr>
        <w:trPr>
          <w:cantSplit/>
        </w:trPr>
        <w:tc>
          <w:tcPr>
            <w:tcW w:type="dxa" w:w="3137"/>
            <w:vAlign w:val="center"/>
            <w:tcMar>
              <w:top w:w="50" w:type="dxa"/>
              <w:bottom w:w="50" w:type="dxa"/>
            </w:tcMar>
          </w:tcPr>
          <w:p>
            <w:pPr>
              <w:spacing w:after="40" w:before="20"/>
              <w:jc w:val="left"/>
            </w:pPr>
            <w:r>
              <w:rPr>
                <w:rFonts w:ascii="Arial" w:hAnsi="Arial"/>
                <w:sz w:val="18"/>
              </w:rPr>
              <w:t>Viaturas</w:t>
            </w:r>
          </w:p>
        </w:tc>
        <w:tc>
          <w:tcPr>
            <w:tcW w:type="dxa" w:w="3137"/>
            <w:vAlign w:val="center"/>
            <w:tcMar>
              <w:top w:w="50" w:type="dxa"/>
              <w:bottom w:w="50" w:type="dxa"/>
            </w:tcMar>
          </w:tcPr>
          <w:p>
            <w:pPr>
              <w:spacing w:after="40" w:before="20"/>
              <w:jc w:val="left"/>
            </w:pPr>
            <w:r>
              <w:rPr>
                <w:rFonts w:ascii="Arial" w:hAnsi="Arial"/>
                <w:sz w:val="18"/>
              </w:rPr>
              <w:t>Mantidos id_viatura, código da viatura e status; não aparecem ano de fabricação, km atual e custo mensal de manutenção estimado.</w:t>
            </w:r>
          </w:p>
        </w:tc>
        <w:tc>
          <w:tcPr>
            <w:tcW w:type="dxa" w:w="3137"/>
            <w:vAlign w:val="center"/>
            <w:tcMar>
              <w:top w:w="50" w:type="dxa"/>
              <w:bottom w:w="50" w:type="dxa"/>
            </w:tcMar>
          </w:tcPr>
          <w:p>
            <w:pPr>
              <w:spacing w:after="40" w:before="20"/>
              <w:jc w:val="left"/>
            </w:pPr>
            <w:r>
              <w:rPr>
                <w:rFonts w:ascii="Arial" w:hAnsi="Arial"/>
                <w:sz w:val="18"/>
              </w:rPr>
              <w:t>Código e status atendem à identificação e disponibilidade básica. Quilometragem e custo são necessários se o sistema cobrir manutenção, orçamento ou planejamento de frota.</w:t>
            </w:r>
          </w:p>
        </w:tc>
      </w:tr>
      <w:tr>
        <w:trPr>
          <w:cantSplit/>
        </w:trPr>
        <w:tc>
          <w:tcPr>
            <w:tcW w:type="dxa" w:w="3137"/>
            <w:vAlign w:val="center"/>
            <w:shd w:val="clear" w:color="auto" w:fill="F3F6FA"/>
            <w:tcMar>
              <w:top w:w="50" w:type="dxa"/>
              <w:bottom w:w="50" w:type="dxa"/>
            </w:tcMar>
          </w:tcPr>
          <w:p>
            <w:pPr>
              <w:spacing w:after="40" w:before="20"/>
              <w:jc w:val="left"/>
            </w:pPr>
            <w:r>
              <w:rPr>
                <w:rFonts w:ascii="Arial" w:hAnsi="Arial"/>
                <w:sz w:val="18"/>
              </w:rPr>
              <w:t>Status</w:t>
            </w:r>
          </w:p>
        </w:tc>
        <w:tc>
          <w:tcPr>
            <w:tcW w:type="dxa" w:w="3137"/>
            <w:vAlign w:val="center"/>
            <w:shd w:val="clear" w:color="auto" w:fill="F3F6FA"/>
            <w:tcMar>
              <w:top w:w="50" w:type="dxa"/>
              <w:bottom w:w="50" w:type="dxa"/>
            </w:tcMar>
          </w:tcPr>
          <w:p>
            <w:pPr>
              <w:spacing w:after="40" w:before="20"/>
              <w:jc w:val="left"/>
            </w:pPr>
            <w:r>
              <w:rPr>
                <w:rFonts w:ascii="Arial" w:hAnsi="Arial"/>
                <w:sz w:val="18"/>
              </w:rPr>
              <w:t>Valores do status de viatura foram explicitados como enumeração.</w:t>
            </w:r>
          </w:p>
        </w:tc>
        <w:tc>
          <w:tcPr>
            <w:tcW w:type="dxa" w:w="3137"/>
            <w:vAlign w:val="center"/>
            <w:shd w:val="clear" w:color="auto" w:fill="F3F6FA"/>
            <w:tcMar>
              <w:top w:w="50" w:type="dxa"/>
              <w:bottom w:w="50" w:type="dxa"/>
            </w:tcMar>
          </w:tcPr>
          <w:p>
            <w:pPr>
              <w:spacing w:after="40" w:before="20"/>
              <w:jc w:val="left"/>
            </w:pPr>
            <w:r>
              <w:rPr>
                <w:rFonts w:ascii="Arial" w:hAnsi="Arial"/>
                <w:sz w:val="18"/>
              </w:rPr>
              <w:t>Formaliza um conjunto fechado de valores e reduz inconsistências. Deve-se definir transições permitidas entre estados e se os status de unidade, ocorrência e equipe terão domínios separados.</w:t>
            </w:r>
          </w:p>
        </w:tc>
      </w:tr>
    </w:tbl>
    <w:p>
      <w:pPr>
        <w:pStyle w:val="Heading2"/>
      </w:pPr>
      <w:r>
        <w:t>4.4 Associações e cardinalidades a validar</w:t>
      </w:r>
    </w:p>
    <w:p>
      <w:pPr>
        <w:pStyle w:val="ListBullet"/>
      </w:pPr>
      <w:r>
        <w:t>Cidadao–Unidade: o diagrama parece indicar que uma unidade pode estar associada a vários cidadãos e que cada cidadão se vincula a uma unidade. Essa regra é incomum para um cadastro de cidadãos e deve ser confirmada. Se o objetivo for indicar a unidade territorial de referência do cidadão, documentar essa regra; caso contrário, remover a associação.</w:t>
      </w:r>
    </w:p>
    <w:p>
      <w:pPr>
        <w:pStyle w:val="ListBullet"/>
      </w:pPr>
      <w:r>
        <w:t>Cidadao–Ocorrencia: parece permitir que um cidadão esteja relacionado a várias ocorrências. É adequado se o cidadão for comunicante, solicitante ou pessoa envolvida. Recomenda-se nomear o papel da associação (por exemplo, “comunica” ou “está relacionado a”) e decidir se uma ocorrência pode envolver mais de um cidadão.</w:t>
      </w:r>
    </w:p>
    <w:p>
      <w:pPr>
        <w:pStyle w:val="ListBullet"/>
      </w:pPr>
      <w:r>
        <w:t>Unidade–Ocorrencia: confirmar se uma ocorrência pertence obrigatoriamente a uma única unidade ou se pode ser transferida entre unidades. Se houver transferência/histórico, pode ser necessária uma entidade associativa ou histórico de atribuições.</w:t>
      </w:r>
    </w:p>
    <w:p>
      <w:pPr>
        <w:pStyle w:val="ListBullet"/>
      </w:pPr>
      <w:r>
        <w:t>Ocorrencia–Viaturas: confirmar se uma ocorrência pode mobilizar zero, uma ou várias viaturas e se uma viatura pode atender várias ocorrências ao longo do tempo. Para histórico correto, uma associação simples pode não bastar; pode ser necessária uma entidade de despacho/atendimento com horários de saída, chegada e liberação.</w:t>
      </w:r>
    </w:p>
    <w:p>
      <w:pPr>
        <w:pStyle w:val="ListBullet"/>
      </w:pPr>
      <w:r>
        <w:t>Ocorrencia–Endereco: confirmar se cada ocorrência possui exatamente um endereço de referência e se o endereço do cidadão é independente do local da ocorrência. Não se deve assumir que ambos são sempre iguais.</w:t>
      </w:r>
    </w:p>
    <w:p>
      <w:pPr>
        <w:pStyle w:val="ListBullet"/>
      </w:pPr>
      <w:r>
        <w:t>Unidade–Endereco: o diagrama sugere uma relação com endereço, mas a multiplicidade e a regra de composição devem ser definidas. Se endereço for parte exclusiva da unidade, composição pode fazer sentido; se for compartilhável, uma associação simples é mais apropriada.</w:t>
      </w:r>
    </w:p>
    <w:p>
      <w:pPr>
        <w:pStyle w:val="Heading1"/>
      </w:pPr>
      <w:r>
        <w:t>5. Fase 04 — Evolução do modelo relacional</w:t>
      </w:r>
    </w:p>
    <w:p>
      <w:pPr>
        <w:pStyle w:val="Heading2"/>
      </w:pPr>
      <w:r>
        <w:t>5.1 Modelo original versus modelo proposto</w:t>
      </w:r>
    </w:p>
    <w:p>
      <w:pPr>
        <w:jc w:val="both"/>
      </w:pPr>
      <w:r>
        <w:t>Modelo original: conjunto amplo de tabelas/entidades operacionais e analíticas, com múltiplas referências entre chamados, áreas, unidades, patrulhamento, ações preventivas, ocorrências, equipes e viaturas, além de indicadores mensais. Modelo proposto: núcleo reduzido para cidadão, endereço, ocorrência, unidade e viatura, com enumeração de status para viaturas.</w:t>
      </w:r>
    </w:p>
    <w:p>
      <w:pPr>
        <w:jc w:val="both"/>
      </w:pPr>
      <w:r>
        <w:t>A proposta melhora a legibilidade e delimita o domínio principal, mas não é possível afirmar apenas pela imagem que a normalização relacional foi concluída. A normalização depende de dependências funcionais, chaves e regras reais dos dados; por isso, a entrega deve apresentar a revisão como proposta conceitual e explicitar os pontos ainda sujeitos à validação.</w:t>
      </w:r>
    </w:p>
    <w:p>
      <w:pPr>
        <w:pStyle w:val="Heading2"/>
      </w:pPr>
      <w:r>
        <w:t>5.2 Estratégia de normalização e restrições</w:t>
      </w:r>
    </w:p>
    <w:p>
      <w:pPr>
        <w:pStyle w:val="ListBullet"/>
      </w:pPr>
      <w:r>
        <w:t>Separar entidades com identidade própria: cidadão, endereço, unidade, ocorrência e viatura devem ter chaves primárias estáveis.</w:t>
      </w:r>
    </w:p>
    <w:p>
      <w:pPr>
        <w:pStyle w:val="ListBullet"/>
      </w:pPr>
      <w:r>
        <w:t>Usar chaves estrangeiras para implementar associações, respeitando as cardinalidades aprovadas. Evitar armazenar a mesma relação simultaneamente em vários atributos redundantes.</w:t>
      </w:r>
    </w:p>
    <w:p>
      <w:pPr>
        <w:pStyle w:val="ListBullet"/>
      </w:pPr>
      <w:r>
        <w:t>Usar tipos adequados: data/hora em campo temporal; prioridade como domínio controlado; status como enum ou tabela de domínio; CPF como texto validado, não como número, pois pode conter zeros à esquerda e não participa de operações aritméticas.</w:t>
      </w:r>
    </w:p>
    <w:p>
      <w:pPr>
        <w:pStyle w:val="ListBullet"/>
      </w:pPr>
      <w:r>
        <w:t>Definir nulabilidade e exclusividade: CPF único, quando aplicável; campos obrigatórios de ocorrência; status não nulo; integridade referencial para unidade e viatura associadas.</w:t>
      </w:r>
    </w:p>
    <w:p>
      <w:pPr>
        <w:pStyle w:val="ListBullet"/>
      </w:pPr>
      <w:r>
        <w:t>Derivar ano, mês, trimestre, dia da semana e período a partir de data/hora quando não houver necessidade de armazenar snapshots. Se indicadores históricos precisarem reproduzir o valor conhecido em cada fechamento, armazenar o snapshot de forma explícita e documentada.</w:t>
      </w:r>
    </w:p>
    <w:p>
      <w:pPr>
        <w:pStyle w:val="ListBullet"/>
      </w:pPr>
      <w:r>
        <w:t>Não descartar automaticamente tempo de resposta, tempo de atendimento, coordenadas, quilometragem, custos de manutenção ou dados de equipe. Confirmar se são requisitos de operação, auditoria, SLA ou análise antes de removê-los.</w:t>
      </w:r>
    </w:p>
    <w:p>
      <w:pPr>
        <w:pStyle w:val="ListBullet"/>
      </w:pPr>
      <w:r>
        <w:t>Para migração, mapear cada campo antigo para o destino, definir transformação de status e tratamento de valores inválidos, verificar registros órfãos e comparar contagens antes/depois. Manter cópia de segurança e plano de reversão.</w:t>
      </w:r>
    </w:p>
    <w:p>
      <w:pPr>
        <w:pStyle w:val="Heading2"/>
      </w:pPr>
      <w:r>
        <w:t>5.3 Matriz resumida de decisão sobre mudanças</w:t>
      </w:r>
    </w:p>
    <w:tbl>
      <w:tblPr>
        <w:tblStyle w:val="TableGrid"/>
        <w:tblLayout w:type="fixed"/>
        <w:tblLook w:firstColumn="1" w:firstRow="1" w:lastColumn="0" w:lastRow="0" w:noHBand="0" w:noVBand="1" w:val="04A0"/>
        <w:tblW w:w="9411" w:type="dxa"/>
        <w:tblBorders>
          <w:top w:val="single" w:sz="4" w:color="BFC8D4"/>
          <w:left w:val="single" w:sz="4" w:color="BFC8D4"/>
          <w:bottom w:val="single" w:sz="4" w:color="BFC8D4"/>
          <w:right w:val="single" w:sz="4" w:color="BFC8D4"/>
          <w:insideH w:val="single" w:sz="4" w:color="BFC8D4"/>
          <w:insideV w:val="single" w:sz="4" w:color="BFC8D4"/>
        </w:tblBorders>
      </w:tblPr>
      <w:tblGrid>
        <w:gridCol w:w="2352"/>
        <w:gridCol w:w="2352"/>
        <w:gridCol w:w="2352"/>
        <w:gridCol w:w="2352"/>
      </w:tblGrid>
      <w:tr>
        <w:trPr>
          <w:cantSplit/>
          <w:tblHeader/>
        </w:trPr>
        <w:tc>
          <w:tcPr>
            <w:tcW w:type="dxa" w:w="2353"/>
            <w:vAlign w:val="center"/>
            <w:shd w:val="clear" w:color="auto" w:fill="1F3A5F"/>
            <w:tcMar>
              <w:top w:w="50" w:type="dxa"/>
              <w:bottom w:w="50" w:type="dxa"/>
            </w:tcMar>
          </w:tcPr>
          <w:p>
            <w:pPr>
              <w:spacing w:after="40" w:before="20"/>
              <w:jc w:val="left"/>
            </w:pPr>
            <w:r>
              <w:rPr>
                <w:rFonts w:ascii="Arial" w:hAnsi="Arial"/>
                <w:b/>
                <w:color w:val="FFFFFF"/>
                <w:sz w:val="18"/>
              </w:rPr>
              <w:t>Mudança</w:t>
            </w:r>
          </w:p>
        </w:tc>
        <w:tc>
          <w:tcPr>
            <w:tcW w:type="dxa" w:w="2353"/>
            <w:vAlign w:val="center"/>
            <w:shd w:val="clear" w:color="auto" w:fill="1F3A5F"/>
            <w:tcMar>
              <w:top w:w="50" w:type="dxa"/>
              <w:bottom w:w="50" w:type="dxa"/>
            </w:tcMar>
          </w:tcPr>
          <w:p>
            <w:pPr>
              <w:spacing w:after="40" w:before="20"/>
              <w:jc w:val="left"/>
            </w:pPr>
            <w:r>
              <w:rPr>
                <w:rFonts w:ascii="Arial" w:hAnsi="Arial"/>
                <w:b/>
                <w:color w:val="FFFFFF"/>
                <w:sz w:val="18"/>
              </w:rPr>
              <w:t>Motivo principal</w:t>
            </w:r>
          </w:p>
        </w:tc>
        <w:tc>
          <w:tcPr>
            <w:tcW w:type="dxa" w:w="2353"/>
            <w:vAlign w:val="center"/>
            <w:shd w:val="clear" w:color="auto" w:fill="1F3A5F"/>
            <w:tcMar>
              <w:top w:w="50" w:type="dxa"/>
              <w:bottom w:w="50" w:type="dxa"/>
            </w:tcMar>
          </w:tcPr>
          <w:p>
            <w:pPr>
              <w:spacing w:after="40" w:before="20"/>
              <w:jc w:val="left"/>
            </w:pPr>
            <w:r>
              <w:rPr>
                <w:rFonts w:ascii="Arial" w:hAnsi="Arial"/>
                <w:b/>
                <w:color w:val="FFFFFF"/>
                <w:sz w:val="18"/>
              </w:rPr>
              <w:t>Benefício esperado</w:t>
            </w:r>
          </w:p>
        </w:tc>
        <w:tc>
          <w:tcPr>
            <w:tcW w:type="dxa" w:w="2353"/>
            <w:vAlign w:val="center"/>
            <w:shd w:val="clear" w:color="auto" w:fill="1F3A5F"/>
            <w:tcMar>
              <w:top w:w="50" w:type="dxa"/>
              <w:bottom w:w="50" w:type="dxa"/>
            </w:tcMar>
          </w:tcPr>
          <w:p>
            <w:pPr>
              <w:spacing w:after="40" w:before="20"/>
              <w:jc w:val="left"/>
            </w:pPr>
            <w:r>
              <w:rPr>
                <w:rFonts w:ascii="Arial" w:hAnsi="Arial"/>
                <w:b/>
                <w:color w:val="FFFFFF"/>
                <w:sz w:val="18"/>
              </w:rPr>
              <w:t>Risco/validação necessária</w:t>
            </w:r>
          </w:p>
        </w:tc>
      </w:tr>
      <w:tr>
        <w:trPr>
          <w:cantSplit/>
        </w:trPr>
        <w:tc>
          <w:tcPr>
            <w:tcW w:type="dxa" w:w="2353"/>
            <w:vAlign w:val="center"/>
            <w:tcMar>
              <w:top w:w="50" w:type="dxa"/>
              <w:bottom w:w="50" w:type="dxa"/>
            </w:tcMar>
          </w:tcPr>
          <w:p>
            <w:pPr>
              <w:spacing w:after="40" w:before="20"/>
              <w:jc w:val="left"/>
            </w:pPr>
            <w:r>
              <w:rPr>
                <w:rFonts w:ascii="Arial" w:hAnsi="Arial"/>
                <w:sz w:val="18"/>
              </w:rPr>
              <w:t>Criar Cidadao</w:t>
            </w:r>
          </w:p>
        </w:tc>
        <w:tc>
          <w:tcPr>
            <w:tcW w:type="dxa" w:w="2353"/>
            <w:vAlign w:val="center"/>
            <w:tcMar>
              <w:top w:w="50" w:type="dxa"/>
              <w:bottom w:w="50" w:type="dxa"/>
            </w:tcMar>
          </w:tcPr>
          <w:p>
            <w:pPr>
              <w:spacing w:after="40" w:before="20"/>
              <w:jc w:val="left"/>
            </w:pPr>
            <w:r>
              <w:rPr>
                <w:rFonts w:ascii="Arial" w:hAnsi="Arial"/>
                <w:sz w:val="18"/>
              </w:rPr>
              <w:t>Tornar explícita a pessoa relacionada ao evento.</w:t>
            </w:r>
          </w:p>
        </w:tc>
        <w:tc>
          <w:tcPr>
            <w:tcW w:type="dxa" w:w="2353"/>
            <w:vAlign w:val="center"/>
            <w:tcMar>
              <w:top w:w="50" w:type="dxa"/>
              <w:bottom w:w="50" w:type="dxa"/>
            </w:tcMar>
          </w:tcPr>
          <w:p>
            <w:pPr>
              <w:spacing w:after="40" w:before="20"/>
              <w:jc w:val="left"/>
            </w:pPr>
            <w:r>
              <w:rPr>
                <w:rFonts w:ascii="Arial" w:hAnsi="Arial"/>
                <w:sz w:val="18"/>
              </w:rPr>
              <w:t>Dados de contato centralizados e reutilizáveis.</w:t>
            </w:r>
          </w:p>
        </w:tc>
        <w:tc>
          <w:tcPr>
            <w:tcW w:type="dxa" w:w="2353"/>
            <w:vAlign w:val="center"/>
            <w:tcMar>
              <w:top w:w="50" w:type="dxa"/>
              <w:bottom w:w="50" w:type="dxa"/>
            </w:tcMar>
          </w:tcPr>
          <w:p>
            <w:pPr>
              <w:spacing w:after="40" w:before="20"/>
              <w:jc w:val="left"/>
            </w:pPr>
            <w:r>
              <w:rPr>
                <w:rFonts w:ascii="Arial" w:hAnsi="Arial"/>
                <w:sz w:val="18"/>
              </w:rPr>
              <w:t>Definir papel do cidadão e regra de unicidade do CPF.</w:t>
            </w:r>
          </w:p>
        </w:tc>
      </w:tr>
      <w:tr>
        <w:trPr>
          <w:cantSplit/>
        </w:trPr>
        <w:tc>
          <w:tcPr>
            <w:tcW w:type="dxa" w:w="2353"/>
            <w:vAlign w:val="center"/>
            <w:shd w:val="clear" w:color="auto" w:fill="F3F6FA"/>
            <w:tcMar>
              <w:top w:w="50" w:type="dxa"/>
              <w:bottom w:w="50" w:type="dxa"/>
            </w:tcMar>
          </w:tcPr>
          <w:p>
            <w:pPr>
              <w:spacing w:after="40" w:before="20"/>
              <w:jc w:val="left"/>
            </w:pPr>
            <w:r>
              <w:rPr>
                <w:rFonts w:ascii="Arial" w:hAnsi="Arial"/>
                <w:sz w:val="18"/>
              </w:rPr>
              <w:t>Criar Endereco</w:t>
            </w:r>
          </w:p>
        </w:tc>
        <w:tc>
          <w:tcPr>
            <w:tcW w:type="dxa" w:w="2353"/>
            <w:vAlign w:val="center"/>
            <w:shd w:val="clear" w:color="auto" w:fill="F3F6FA"/>
            <w:tcMar>
              <w:top w:w="50" w:type="dxa"/>
              <w:bottom w:w="50" w:type="dxa"/>
            </w:tcMar>
          </w:tcPr>
          <w:p>
            <w:pPr>
              <w:spacing w:after="40" w:before="20"/>
              <w:jc w:val="left"/>
            </w:pPr>
            <w:r>
              <w:rPr>
                <w:rFonts w:ascii="Arial" w:hAnsi="Arial"/>
                <w:sz w:val="18"/>
              </w:rPr>
              <w:t>Estruturar endereço em campos próprios.</w:t>
            </w:r>
          </w:p>
        </w:tc>
        <w:tc>
          <w:tcPr>
            <w:tcW w:type="dxa" w:w="2353"/>
            <w:vAlign w:val="center"/>
            <w:shd w:val="clear" w:color="auto" w:fill="F3F6FA"/>
            <w:tcMar>
              <w:top w:w="50" w:type="dxa"/>
              <w:bottom w:w="50" w:type="dxa"/>
            </w:tcMar>
          </w:tcPr>
          <w:p>
            <w:pPr>
              <w:spacing w:after="40" w:before="20"/>
              <w:jc w:val="left"/>
            </w:pPr>
            <w:r>
              <w:rPr>
                <w:rFonts w:ascii="Arial" w:hAnsi="Arial"/>
                <w:sz w:val="18"/>
              </w:rPr>
              <w:t>Menos texto livre e maior capacidade de consulta.</w:t>
            </w:r>
          </w:p>
        </w:tc>
        <w:tc>
          <w:tcPr>
            <w:tcW w:type="dxa" w:w="2353"/>
            <w:vAlign w:val="center"/>
            <w:shd w:val="clear" w:color="auto" w:fill="F3F6FA"/>
            <w:tcMar>
              <w:top w:w="50" w:type="dxa"/>
              <w:bottom w:w="50" w:type="dxa"/>
            </w:tcMar>
          </w:tcPr>
          <w:p>
            <w:pPr>
              <w:spacing w:after="40" w:before="20"/>
              <w:jc w:val="left"/>
            </w:pPr>
            <w:r>
              <w:rPr>
                <w:rFonts w:ascii="Arial" w:hAnsi="Arial"/>
                <w:sz w:val="18"/>
              </w:rPr>
              <w:t>Distinguir endereço residencial do local da ocorrência.</w:t>
            </w:r>
          </w:p>
        </w:tc>
      </w:tr>
      <w:tr>
        <w:trPr>
          <w:cantSplit/>
        </w:trPr>
        <w:tc>
          <w:tcPr>
            <w:tcW w:type="dxa" w:w="2353"/>
            <w:vAlign w:val="center"/>
            <w:tcMar>
              <w:top w:w="50" w:type="dxa"/>
              <w:bottom w:w="50" w:type="dxa"/>
            </w:tcMar>
          </w:tcPr>
          <w:p>
            <w:pPr>
              <w:spacing w:after="40" w:before="20"/>
              <w:jc w:val="left"/>
            </w:pPr>
            <w:r>
              <w:rPr>
                <w:rFonts w:ascii="Arial" w:hAnsi="Arial"/>
                <w:sz w:val="18"/>
              </w:rPr>
              <w:t>Simplificar Ocorrencia</w:t>
            </w:r>
          </w:p>
        </w:tc>
        <w:tc>
          <w:tcPr>
            <w:tcW w:type="dxa" w:w="2353"/>
            <w:vAlign w:val="center"/>
            <w:tcMar>
              <w:top w:w="50" w:type="dxa"/>
              <w:bottom w:w="50" w:type="dxa"/>
            </w:tcMar>
          </w:tcPr>
          <w:p>
            <w:pPr>
              <w:spacing w:after="40" w:before="20"/>
              <w:jc w:val="left"/>
            </w:pPr>
            <w:r>
              <w:rPr>
                <w:rFonts w:ascii="Arial" w:hAnsi="Arial"/>
                <w:sz w:val="18"/>
              </w:rPr>
              <w:t>Manter no núcleo os dados básicos do evento.</w:t>
            </w:r>
          </w:p>
        </w:tc>
        <w:tc>
          <w:tcPr>
            <w:tcW w:type="dxa" w:w="2353"/>
            <w:vAlign w:val="center"/>
            <w:tcMar>
              <w:top w:w="50" w:type="dxa"/>
              <w:bottom w:w="50" w:type="dxa"/>
            </w:tcMar>
          </w:tcPr>
          <w:p>
            <w:pPr>
              <w:spacing w:after="40" w:before="20"/>
              <w:jc w:val="left"/>
            </w:pPr>
            <w:r>
              <w:rPr>
                <w:rFonts w:ascii="Arial" w:hAnsi="Arial"/>
                <w:sz w:val="18"/>
              </w:rPr>
              <w:t>Diagrama mais legível e responsabilidades mais claras.</w:t>
            </w:r>
          </w:p>
        </w:tc>
        <w:tc>
          <w:tcPr>
            <w:tcW w:type="dxa" w:w="2353"/>
            <w:vAlign w:val="center"/>
            <w:tcMar>
              <w:top w:w="50" w:type="dxa"/>
              <w:bottom w:w="50" w:type="dxa"/>
            </w:tcMar>
          </w:tcPr>
          <w:p>
            <w:pPr>
              <w:spacing w:after="40" w:before="20"/>
              <w:jc w:val="left"/>
            </w:pPr>
            <w:r>
              <w:rPr>
                <w:rFonts w:ascii="Arial" w:hAnsi="Arial"/>
                <w:sz w:val="18"/>
              </w:rPr>
              <w:t>Não perder SLA, geolocalização, canal ou histórico necessários.</w:t>
            </w:r>
          </w:p>
        </w:tc>
      </w:tr>
      <w:tr>
        <w:trPr>
          <w:cantSplit/>
        </w:trPr>
        <w:tc>
          <w:tcPr>
            <w:tcW w:type="dxa" w:w="2353"/>
            <w:vAlign w:val="center"/>
            <w:shd w:val="clear" w:color="auto" w:fill="F3F6FA"/>
            <w:tcMar>
              <w:top w:w="50" w:type="dxa"/>
              <w:bottom w:w="50" w:type="dxa"/>
            </w:tcMar>
          </w:tcPr>
          <w:p>
            <w:pPr>
              <w:spacing w:after="40" w:before="20"/>
              <w:jc w:val="left"/>
            </w:pPr>
            <w:r>
              <w:rPr>
                <w:rFonts w:ascii="Arial" w:hAnsi="Arial"/>
                <w:sz w:val="18"/>
              </w:rPr>
              <w:t>Simplificar Unidade</w:t>
            </w:r>
          </w:p>
        </w:tc>
        <w:tc>
          <w:tcPr>
            <w:tcW w:type="dxa" w:w="2353"/>
            <w:vAlign w:val="center"/>
            <w:shd w:val="clear" w:color="auto" w:fill="F3F6FA"/>
            <w:tcMar>
              <w:top w:w="50" w:type="dxa"/>
              <w:bottom w:w="50" w:type="dxa"/>
            </w:tcMar>
          </w:tcPr>
          <w:p>
            <w:pPr>
              <w:spacing w:after="40" w:before="20"/>
              <w:jc w:val="left"/>
            </w:pPr>
            <w:r>
              <w:rPr>
                <w:rFonts w:ascii="Arial" w:hAnsi="Arial"/>
                <w:sz w:val="18"/>
              </w:rPr>
              <w:t>Manter cadastro básico da unidade.</w:t>
            </w:r>
          </w:p>
        </w:tc>
        <w:tc>
          <w:tcPr>
            <w:tcW w:type="dxa" w:w="2353"/>
            <w:vAlign w:val="center"/>
            <w:shd w:val="clear" w:color="auto" w:fill="F3F6FA"/>
            <w:tcMar>
              <w:top w:w="50" w:type="dxa"/>
              <w:bottom w:w="50" w:type="dxa"/>
            </w:tcMar>
          </w:tcPr>
          <w:p>
            <w:pPr>
              <w:spacing w:after="40" w:before="20"/>
              <w:jc w:val="left"/>
            </w:pPr>
            <w:r>
              <w:rPr>
                <w:rFonts w:ascii="Arial" w:hAnsi="Arial"/>
                <w:sz w:val="18"/>
              </w:rPr>
              <w:t>Reduzir mistura de cadastro e métricas operacionais.</w:t>
            </w:r>
          </w:p>
        </w:tc>
        <w:tc>
          <w:tcPr>
            <w:tcW w:type="dxa" w:w="2353"/>
            <w:vAlign w:val="center"/>
            <w:shd w:val="clear" w:color="auto" w:fill="F3F6FA"/>
            <w:tcMar>
              <w:top w:w="50" w:type="dxa"/>
              <w:bottom w:w="50" w:type="dxa"/>
            </w:tcMar>
          </w:tcPr>
          <w:p>
            <w:pPr>
              <w:spacing w:after="40" w:before="20"/>
              <w:jc w:val="left"/>
            </w:pPr>
            <w:r>
              <w:rPr>
                <w:rFonts w:ascii="Arial" w:hAnsi="Arial"/>
                <w:sz w:val="18"/>
              </w:rPr>
              <w:t>Confirmar necessidade de localização, status, efetivo e frota.</w:t>
            </w:r>
          </w:p>
        </w:tc>
      </w:tr>
      <w:tr>
        <w:trPr>
          <w:cantSplit/>
        </w:trPr>
        <w:tc>
          <w:tcPr>
            <w:tcW w:type="dxa" w:w="2353"/>
            <w:vAlign w:val="center"/>
            <w:tcMar>
              <w:top w:w="50" w:type="dxa"/>
              <w:bottom w:w="50" w:type="dxa"/>
            </w:tcMar>
          </w:tcPr>
          <w:p>
            <w:pPr>
              <w:spacing w:after="40" w:before="20"/>
              <w:jc w:val="left"/>
            </w:pPr>
            <w:r>
              <w:rPr>
                <w:rFonts w:ascii="Arial" w:hAnsi="Arial"/>
                <w:sz w:val="18"/>
              </w:rPr>
              <w:t>Simplificar Viaturas</w:t>
            </w:r>
          </w:p>
        </w:tc>
        <w:tc>
          <w:tcPr>
            <w:tcW w:type="dxa" w:w="2353"/>
            <w:vAlign w:val="center"/>
            <w:tcMar>
              <w:top w:w="50" w:type="dxa"/>
              <w:bottom w:w="50" w:type="dxa"/>
            </w:tcMar>
          </w:tcPr>
          <w:p>
            <w:pPr>
              <w:spacing w:after="40" w:before="20"/>
              <w:jc w:val="left"/>
            </w:pPr>
            <w:r>
              <w:rPr>
                <w:rFonts w:ascii="Arial" w:hAnsi="Arial"/>
                <w:sz w:val="18"/>
              </w:rPr>
              <w:t>Priorizar identificação e disponibilidade.</w:t>
            </w:r>
          </w:p>
        </w:tc>
        <w:tc>
          <w:tcPr>
            <w:tcW w:type="dxa" w:w="2353"/>
            <w:vAlign w:val="center"/>
            <w:tcMar>
              <w:top w:w="50" w:type="dxa"/>
              <w:bottom w:w="50" w:type="dxa"/>
            </w:tcMar>
          </w:tcPr>
          <w:p>
            <w:pPr>
              <w:spacing w:after="40" w:before="20"/>
              <w:jc w:val="left"/>
            </w:pPr>
            <w:r>
              <w:rPr>
                <w:rFonts w:ascii="Arial" w:hAnsi="Arial"/>
                <w:sz w:val="18"/>
              </w:rPr>
              <w:t>Foco na alocação operacional.</w:t>
            </w:r>
          </w:p>
        </w:tc>
        <w:tc>
          <w:tcPr>
            <w:tcW w:type="dxa" w:w="2353"/>
            <w:vAlign w:val="center"/>
            <w:tcMar>
              <w:top w:w="50" w:type="dxa"/>
              <w:bottom w:w="50" w:type="dxa"/>
            </w:tcMar>
          </w:tcPr>
          <w:p>
            <w:pPr>
              <w:spacing w:after="40" w:before="20"/>
              <w:jc w:val="left"/>
            </w:pPr>
            <w:r>
              <w:rPr>
                <w:rFonts w:ascii="Arial" w:hAnsi="Arial"/>
                <w:sz w:val="18"/>
              </w:rPr>
              <w:t>Manutenção, quilometragem e custo podem ser requisitos relevantes.</w:t>
            </w:r>
          </w:p>
        </w:tc>
      </w:tr>
      <w:tr>
        <w:trPr>
          <w:cantSplit/>
        </w:trPr>
        <w:tc>
          <w:tcPr>
            <w:tcW w:type="dxa" w:w="2353"/>
            <w:vAlign w:val="center"/>
            <w:shd w:val="clear" w:color="auto" w:fill="F3F6FA"/>
            <w:tcMar>
              <w:top w:w="50" w:type="dxa"/>
              <w:bottom w:w="50" w:type="dxa"/>
            </w:tcMar>
          </w:tcPr>
          <w:p>
            <w:pPr>
              <w:spacing w:after="40" w:before="20"/>
              <w:jc w:val="left"/>
            </w:pPr>
            <w:r>
              <w:rPr>
                <w:rFonts w:ascii="Arial" w:hAnsi="Arial"/>
                <w:sz w:val="18"/>
              </w:rPr>
              <w:t>Criar enum Status</w:t>
            </w:r>
          </w:p>
        </w:tc>
        <w:tc>
          <w:tcPr>
            <w:tcW w:type="dxa" w:w="2353"/>
            <w:vAlign w:val="center"/>
            <w:shd w:val="clear" w:color="auto" w:fill="F3F6FA"/>
            <w:tcMar>
              <w:top w:w="50" w:type="dxa"/>
              <w:bottom w:w="50" w:type="dxa"/>
            </w:tcMar>
          </w:tcPr>
          <w:p>
            <w:pPr>
              <w:spacing w:after="40" w:before="20"/>
              <w:jc w:val="left"/>
            </w:pPr>
            <w:r>
              <w:rPr>
                <w:rFonts w:ascii="Arial" w:hAnsi="Arial"/>
                <w:sz w:val="18"/>
              </w:rPr>
              <w:t>Padronizar valores de estado da viatura.</w:t>
            </w:r>
          </w:p>
        </w:tc>
        <w:tc>
          <w:tcPr>
            <w:tcW w:type="dxa" w:w="2353"/>
            <w:vAlign w:val="center"/>
            <w:shd w:val="clear" w:color="auto" w:fill="F3F6FA"/>
            <w:tcMar>
              <w:top w:w="50" w:type="dxa"/>
              <w:bottom w:w="50" w:type="dxa"/>
            </w:tcMar>
          </w:tcPr>
          <w:p>
            <w:pPr>
              <w:spacing w:after="40" w:before="20"/>
              <w:jc w:val="left"/>
            </w:pPr>
            <w:r>
              <w:rPr>
                <w:rFonts w:ascii="Arial" w:hAnsi="Arial"/>
                <w:sz w:val="18"/>
              </w:rPr>
              <w:t>Integridade de domínio e menor inconsistência.</w:t>
            </w:r>
          </w:p>
        </w:tc>
        <w:tc>
          <w:tcPr>
            <w:tcW w:type="dxa" w:w="2353"/>
            <w:vAlign w:val="center"/>
            <w:shd w:val="clear" w:color="auto" w:fill="F3F6FA"/>
            <w:tcMar>
              <w:top w:w="50" w:type="dxa"/>
              <w:bottom w:w="50" w:type="dxa"/>
            </w:tcMar>
          </w:tcPr>
          <w:p>
            <w:pPr>
              <w:spacing w:after="40" w:before="20"/>
              <w:jc w:val="left"/>
            </w:pPr>
            <w:r>
              <w:rPr>
                <w:rFonts w:ascii="Arial" w:hAnsi="Arial"/>
                <w:sz w:val="18"/>
              </w:rPr>
              <w:t>Definir transições e separar status por entidade se necessário.</w:t>
            </w:r>
          </w:p>
        </w:tc>
      </w:tr>
      <w:tr>
        <w:trPr>
          <w:cantSplit/>
        </w:trPr>
        <w:tc>
          <w:tcPr>
            <w:tcW w:type="dxa" w:w="2353"/>
            <w:vAlign w:val="center"/>
            <w:tcMar>
              <w:top w:w="50" w:type="dxa"/>
              <w:bottom w:w="50" w:type="dxa"/>
            </w:tcMar>
          </w:tcPr>
          <w:p>
            <w:pPr>
              <w:spacing w:after="40" w:before="20"/>
              <w:jc w:val="left"/>
            </w:pPr>
            <w:r>
              <w:rPr>
                <w:rFonts w:ascii="Arial" w:hAnsi="Arial"/>
                <w:sz w:val="18"/>
              </w:rPr>
              <w:t>Retirar entidades analíticas/auxiliares do diagrama</w:t>
            </w:r>
          </w:p>
        </w:tc>
        <w:tc>
          <w:tcPr>
            <w:tcW w:type="dxa" w:w="2353"/>
            <w:vAlign w:val="center"/>
            <w:tcMar>
              <w:top w:w="50" w:type="dxa"/>
              <w:bottom w:w="50" w:type="dxa"/>
            </w:tcMar>
          </w:tcPr>
          <w:p>
            <w:pPr>
              <w:spacing w:after="40" w:before="20"/>
              <w:jc w:val="left"/>
            </w:pPr>
            <w:r>
              <w:rPr>
                <w:rFonts w:ascii="Arial" w:hAnsi="Arial"/>
                <w:sz w:val="18"/>
              </w:rPr>
              <w:t>Separar transação de análise/documentação.</w:t>
            </w:r>
          </w:p>
        </w:tc>
        <w:tc>
          <w:tcPr>
            <w:tcW w:type="dxa" w:w="2353"/>
            <w:vAlign w:val="center"/>
            <w:tcMar>
              <w:top w:w="50" w:type="dxa"/>
              <w:bottom w:w="50" w:type="dxa"/>
            </w:tcMar>
          </w:tcPr>
          <w:p>
            <w:pPr>
              <w:spacing w:after="40" w:before="20"/>
              <w:jc w:val="left"/>
            </w:pPr>
            <w:r>
              <w:rPr>
                <w:rFonts w:ascii="Arial" w:hAnsi="Arial"/>
                <w:sz w:val="18"/>
              </w:rPr>
              <w:t>Núcleo de domínio mais simples.</w:t>
            </w:r>
          </w:p>
        </w:tc>
        <w:tc>
          <w:tcPr>
            <w:tcW w:type="dxa" w:w="2353"/>
            <w:vAlign w:val="center"/>
            <w:tcMar>
              <w:top w:w="50" w:type="dxa"/>
              <w:bottom w:w="50" w:type="dxa"/>
            </w:tcMar>
          </w:tcPr>
          <w:p>
            <w:pPr>
              <w:spacing w:after="40" w:before="20"/>
              <w:jc w:val="left"/>
            </w:pPr>
            <w:r>
              <w:rPr>
                <w:rFonts w:ascii="Arial" w:hAnsi="Arial"/>
                <w:sz w:val="18"/>
              </w:rPr>
              <w:t>Retirar do diagrama não deve significar apagar dados sem avaliação.</w:t>
            </w:r>
          </w:p>
        </w:tc>
      </w:tr>
    </w:tbl>
    <w:sectPr w:rsidR="00FC693F" w:rsidRPr="0006063C" w:rsidSect="00034616">
      <w:footerReference w:type="default" r:id="rId9"/>
      <w:pgSz w:w="11906" w:h="16838"/>
      <w:pgMar w:top="1247" w:right="1247" w:bottom="1247"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rPr>
        <w:rFonts w:ascii="Arial" w:hAnsi="Arial"/>
        <w:color w:val="777777"/>
        <w:sz w:val="17"/>
      </w:rPr>
      <w:t xml:space="preserve">Evolução do Modelo UML — Primeira Entrega  |  Página </w:t>
    </w:r>
    <w:r>
      <w:rPr>
        <w:rFonts w:ascii="Arial" w:hAnsi="Arial"/>
        <w:color w:val="777777"/>
        <w:sz w:val="17"/>
      </w:rPr>
      <w:fldChar w:fldCharType="begin"/>
    </w:r>
    <w:r>
      <w:rPr>
        <w:rFonts w:ascii="Arial" w:hAnsi="Arial"/>
        <w:color w:val="777777"/>
        <w:sz w:val="17"/>
      </w:rPr>
      <w:instrText xml:space="preserve"> PAGE </w:instrText>
    </w:r>
    <w:r>
      <w:rPr>
        <w:rFonts w:ascii="Arial" w:hAnsi="Arial"/>
        <w:color w:val="777777"/>
        <w:sz w:val="17"/>
      </w:rPr>
      <w:fldChar w:fldCharType="separate"/>
    </w:r>
    <w:r>
      <w:rPr>
        <w:rFonts w:ascii="Arial" w:hAnsi="Arial"/>
        <w:color w:val="777777"/>
        <w:sz w:val="17"/>
      </w:rPr>
      <w:t>1</w:t>
    </w:r>
    <w:r>
      <w:rPr>
        <w:rFonts w:ascii="Arial" w:hAnsi="Arial"/>
        <w:color w:val="777777"/>
        <w:sz w:val="17"/>
      </w:rP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Arial" w:hAnsi="Arial" w:eastAsia="Arial" w:cs="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160"/>
      <w:outlineLvl w:val="0"/>
    </w:pPr>
    <w:rPr>
      <w:rFonts w:ascii="Arial" w:hAnsi="Arial" w:eastAsia="Arial" w:cs="Arial"/>
      <w:b/>
      <w:bCs/>
      <w:color w:val="1F3A5F"/>
      <w:sz w:val="30"/>
      <w:szCs w:val="28"/>
    </w:rPr>
  </w:style>
  <w:style w:type="paragraph" w:styleId="Heading2">
    <w:name w:val="heading 2"/>
    <w:basedOn w:val="Normal"/>
    <w:next w:val="Normal"/>
    <w:link w:val="Heading2Char"/>
    <w:uiPriority w:val="9"/>
    <w:unhideWhenUsed/>
    <w:qFormat/>
    <w:rsid w:val="00FC693F"/>
    <w:pPr>
      <w:keepNext/>
      <w:keepLines/>
      <w:spacing w:before="240" w:after="80"/>
      <w:outlineLvl w:val="1"/>
    </w:pPr>
    <w:rPr>
      <w:rFonts w:ascii="Arial" w:hAnsi="Arial" w:eastAsia="Arial" w:cs="Arial"/>
      <w:b/>
      <w:bCs/>
      <w:color w:val="1F3A5F"/>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eastAsia="Arial"/>
      <w:b/>
      <w:bCs/>
      <w:color w:val="4F81BD" w:themeColor="accent1"/>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eastAsia="Arial"/>
      <w:color w:val="17365D" w:themeColor="text2" w:themeShade="BF"/>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80"/>
      <w:contextualSpacing/>
    </w:pPr>
    <w:rPr>
      <w:rFonts w:ascii="Arial" w:hAnsi="Arial" w:cs="Arial" w:eastAsia="Arial"/>
      <w:sz w:val="21"/>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