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tmoo3vz0k2q" w:id="0"/>
      <w:bookmarkEnd w:id="0"/>
      <w:r w:rsidDel="00000000" w:rsidR="00000000" w:rsidRPr="00000000">
        <w:rPr>
          <w:rtl w:val="0"/>
        </w:rPr>
        <w:t xml:space="preserve">DICIONÁRIO DE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Sistema: Barbearia Jarl Beard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Integrantes: Alefy Vilela Reis, Gustavo de Oliveira Farias, Vitor de Oliveira Farias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gjgprykinv6w" w:id="1"/>
      <w:bookmarkEnd w:id="1"/>
      <w:r w:rsidDel="00000000" w:rsidR="00000000" w:rsidRPr="00000000">
        <w:rPr>
          <w:rtl w:val="0"/>
        </w:rPr>
        <w:t xml:space="preserve">1. APRESENTAÇÃO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consiste no </w:t>
      </w:r>
      <w:r w:rsidDel="00000000" w:rsidR="00000000" w:rsidRPr="00000000">
        <w:rPr>
          <w:b w:val="1"/>
          <w:bCs w:val="1"/>
          <w:rtl w:val="0"/>
        </w:rPr>
        <w:t xml:space="preserve">Dicionário (Catálogo) de Casos de Uso</w:t>
      </w:r>
      <w:r w:rsidDel="00000000" w:rsidR="00000000" w:rsidRPr="00000000">
        <w:rPr>
          <w:rtl w:val="0"/>
        </w:rPr>
        <w:t xml:space="preserve"> do sistema Barbearia Jarl Beard. Ele consolida o inventário completo dos casos de uso, identificando os atores responsáveis e o propósito sumário de cada funcionalidade.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60kz9kcv1et" w:id="2"/>
      <w:bookmarkEnd w:id="2"/>
      <w:r w:rsidDel="00000000" w:rsidR="00000000" w:rsidRPr="00000000">
        <w:rPr>
          <w:rtl w:val="0"/>
        </w:rPr>
        <w:t xml:space="preserve">2. MATRIZ DE CASOS DE USO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center"/>
        <w:tblBorders>
          <w:top w:color="e2e8f0" w:space="0" w:sz="8" w:val="single"/>
          <w:left w:color="cbd5e1" w:space="0" w:sz="24" w:val="single"/>
          <w:bottom w:color="ffffff" w:space="0" w:sz="48" w:val="single"/>
          <w:right w:color="e2e8f0" w:space="0" w:sz="8" w:val="single"/>
          <w:insideH w:color="ffffff" w:space="0" w:sz="48" w:val="single"/>
          <w:insideV w:color="000000" w:space="0" w:sz="8" w:val="single"/>
        </w:tblBorders>
        <w:tblLayout w:type="fixed"/>
        <w:tblLook w:val="0620"/>
      </w:tblPr>
      <w:tblGrid>
        <w:gridCol w:w="1600"/>
        <w:gridCol w:w="3600"/>
        <w:gridCol w:w="3200"/>
        <w:gridCol w:w="5600"/>
        <w:tblGridChange w:id="0">
          <w:tblGrid>
            <w:gridCol w:w="1600"/>
            <w:gridCol w:w="3600"/>
            <w:gridCol w:w="3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000000" w:space="0" w:sz="0" w:val="nil"/>
            </w:tcBorders>
            <w:shd w:fill="0f17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f17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f17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f17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Cadastrar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realizar o cadastro de um novo usuário no sistema, armazenando seus dados de acesso e definindo seu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Realizar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que o usuário acesse o sistema utilizando suas credenciais e tenha acesso às funcionalidades correspondentes ao seu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Cliente/Funcionário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cadastrar um cliente, vinculando seus dados pessoais a uma conta de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Gerenciar Funcionários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Funcionário autorizado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cadastrar, consultar, alterar e desativar funcionários, incluindo a definição de seus cargos.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Gerenciar Serviços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Funcionário autorizado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cadastrar, consultar, alterar e desativar os serviços oferecidos pela barbearia.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Gerenciar Produtos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Funcionário autorizado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cadastrar, consultar, alterar e desativar os produtos comercializados pela barbearia.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Associar Serviços ao 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Funcionário autorizado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definir quais serviços podem ser realizados por cada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Realizar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ao cliente selecionar um funcionário, data e horário disponíveis para realizar um agendamento.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Consultar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Cliente/Funcionário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consultar os agendamentos registrados no sistema de acordo com o perfil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Cancelar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Cliente/Funcionário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cancelar um agendamento existente, alterando seu status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Gerenciar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criar e gerenciar pedidos relacionados aos clientes e seus respectivos agendamentos.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Registrar Item no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Permite adicionar produtos ou serviços a um pedido, informando quantidade e preço unitário.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UC13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Calcular Total do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Calcula automaticamente o valor total do pedido com base nos itens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Para o detalhamento passo a passo, fluxos principais, alternativos, de exceção e regras de negócio de cada caso de uso, consulte o documento "Especificação e Descrição de Casos de Uso".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8fafc" w:val="clear"/>
      <w:vAlign w:val="top"/>
    </w:tcPr>
    <w:tblStylePr w:type="firstRow">
      <w:rPr>
        <w:rFonts w:ascii="Inter" w:cs="Inter" w:eastAsia="Inter" w:hAnsi="Inter"/>
        <w:color w:val="0f172a"/>
        <w:sz w:val="20"/>
        <w:szCs w:val="20"/>
      </w:rPr>
      <w:tcPr>
        <w:shd w:fill="ffff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