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CC" w:rsidRPr="00E428DE" w:rsidRDefault="008669CC" w:rsidP="008669CC">
      <w:pPr>
        <w:pStyle w:val="Ttulo1"/>
      </w:pPr>
      <w:bookmarkStart w:id="0" w:name="_Toc417056438"/>
      <w:bookmarkStart w:id="1" w:name="_Toc481660348"/>
      <w:bookmarkStart w:id="2" w:name="_GoBack"/>
      <w:bookmarkEnd w:id="2"/>
      <w:r w:rsidRPr="00432BE4">
        <w:t>Sumário da Classificação de R</w:t>
      </w:r>
      <w:r w:rsidRPr="000F7754">
        <w:t>isco</w:t>
      </w:r>
      <w:bookmarkEnd w:id="0"/>
      <w:bookmarkEnd w:id="1"/>
    </w:p>
    <w:p w:rsidR="008669CC" w:rsidRDefault="008669CC" w:rsidP="008669CC">
      <w:pPr>
        <w:rPr>
          <w:rFonts w:cs="Arial"/>
          <w:szCs w:val="22"/>
        </w:rPr>
      </w:pPr>
      <w:r w:rsidRPr="00432BE4">
        <w:rPr>
          <w:rFonts w:cs="Arial"/>
          <w:szCs w:val="22"/>
        </w:rPr>
        <w:t>Nossa análise de risco é baseada em recomendações do “</w:t>
      </w:r>
      <w:proofErr w:type="spellStart"/>
      <w:r w:rsidRPr="00432BE4">
        <w:rPr>
          <w:rFonts w:cs="Arial"/>
          <w:szCs w:val="22"/>
        </w:rPr>
        <w:t>National</w:t>
      </w:r>
      <w:proofErr w:type="spellEnd"/>
      <w:r w:rsidRPr="00432BE4">
        <w:rPr>
          <w:rFonts w:cs="Arial"/>
          <w:szCs w:val="22"/>
        </w:rPr>
        <w:t xml:space="preserve"> </w:t>
      </w:r>
      <w:proofErr w:type="spellStart"/>
      <w:r w:rsidRPr="00432BE4">
        <w:rPr>
          <w:rFonts w:cs="Arial"/>
          <w:szCs w:val="22"/>
        </w:rPr>
        <w:t>Institute</w:t>
      </w:r>
      <w:proofErr w:type="spellEnd"/>
      <w:r w:rsidRPr="00432BE4">
        <w:rPr>
          <w:rFonts w:cs="Arial"/>
          <w:szCs w:val="22"/>
        </w:rPr>
        <w:t xml:space="preserve"> </w:t>
      </w:r>
      <w:proofErr w:type="spellStart"/>
      <w:r w:rsidRPr="00432BE4">
        <w:rPr>
          <w:rFonts w:cs="Arial"/>
          <w:szCs w:val="22"/>
        </w:rPr>
        <w:t>of</w:t>
      </w:r>
      <w:proofErr w:type="spellEnd"/>
      <w:r w:rsidRPr="00432BE4">
        <w:rPr>
          <w:rFonts w:cs="Arial"/>
          <w:szCs w:val="22"/>
        </w:rPr>
        <w:t xml:space="preserve"> Standard </w:t>
      </w:r>
      <w:proofErr w:type="spellStart"/>
      <w:r w:rsidRPr="00432BE4">
        <w:rPr>
          <w:rFonts w:cs="Arial"/>
          <w:szCs w:val="22"/>
        </w:rPr>
        <w:t>and</w:t>
      </w:r>
      <w:proofErr w:type="spellEnd"/>
      <w:r w:rsidRPr="00432BE4">
        <w:rPr>
          <w:rFonts w:cs="Arial"/>
          <w:szCs w:val="22"/>
        </w:rPr>
        <w:t xml:space="preserve"> </w:t>
      </w:r>
      <w:proofErr w:type="spellStart"/>
      <w:r w:rsidRPr="00432BE4">
        <w:rPr>
          <w:rFonts w:cs="Arial"/>
          <w:szCs w:val="22"/>
        </w:rPr>
        <w:t>Techonology</w:t>
      </w:r>
      <w:proofErr w:type="spellEnd"/>
      <w:r w:rsidRPr="00432BE4">
        <w:rPr>
          <w:rFonts w:cs="Arial"/>
          <w:szCs w:val="22"/>
        </w:rPr>
        <w:t>” - NIST no documento “</w:t>
      </w:r>
      <w:proofErr w:type="spellStart"/>
      <w:r w:rsidRPr="00432BE4">
        <w:rPr>
          <w:rFonts w:cs="Arial"/>
          <w:szCs w:val="22"/>
        </w:rPr>
        <w:t>Guide</w:t>
      </w:r>
      <w:proofErr w:type="spellEnd"/>
      <w:r w:rsidRPr="00432BE4">
        <w:rPr>
          <w:rFonts w:cs="Arial"/>
          <w:szCs w:val="22"/>
        </w:rPr>
        <w:t xml:space="preserve"> for </w:t>
      </w:r>
      <w:proofErr w:type="spellStart"/>
      <w:r w:rsidRPr="00432BE4">
        <w:rPr>
          <w:rFonts w:cs="Arial"/>
          <w:szCs w:val="22"/>
        </w:rPr>
        <w:t>Information</w:t>
      </w:r>
      <w:proofErr w:type="spellEnd"/>
      <w:r w:rsidRPr="00432BE4">
        <w:rPr>
          <w:rFonts w:cs="Arial"/>
          <w:szCs w:val="22"/>
        </w:rPr>
        <w:t xml:space="preserve"> </w:t>
      </w:r>
      <w:proofErr w:type="spellStart"/>
      <w:r w:rsidRPr="00432BE4">
        <w:rPr>
          <w:rFonts w:cs="Arial"/>
          <w:szCs w:val="22"/>
        </w:rPr>
        <w:t>technology</w:t>
      </w:r>
      <w:proofErr w:type="spellEnd"/>
      <w:r w:rsidRPr="00432BE4">
        <w:rPr>
          <w:rFonts w:cs="Arial"/>
          <w:szCs w:val="22"/>
        </w:rPr>
        <w:t xml:space="preserve"> Systems” disponível no endereço </w:t>
      </w:r>
      <w:r w:rsidRPr="004D375F">
        <w:rPr>
          <w:rFonts w:cs="Arial"/>
          <w:szCs w:val="22"/>
        </w:rPr>
        <w:t>http://csrc.nist.gov/publications/nistpubs/800-30/sp800-30.pdf</w:t>
      </w:r>
      <w:r>
        <w:rPr>
          <w:rFonts w:cs="Arial"/>
          <w:szCs w:val="22"/>
        </w:rPr>
        <w:t>, na lista de 2013 de Top 10 Vulnerabilidades mais frequentes  da</w:t>
      </w:r>
      <w:r w:rsidRPr="004D375F">
        <w:rPr>
          <w:rFonts w:cs="Arial"/>
          <w:szCs w:val="22"/>
        </w:rPr>
        <w:t xml:space="preserve"> Open Web </w:t>
      </w:r>
      <w:proofErr w:type="spellStart"/>
      <w:r w:rsidRPr="004D375F">
        <w:rPr>
          <w:rFonts w:cs="Arial"/>
          <w:szCs w:val="22"/>
        </w:rPr>
        <w:t>Application</w:t>
      </w:r>
      <w:proofErr w:type="spellEnd"/>
      <w:r w:rsidRPr="004D375F">
        <w:rPr>
          <w:rFonts w:cs="Arial"/>
          <w:szCs w:val="22"/>
        </w:rPr>
        <w:t xml:space="preserve"> Security Project </w:t>
      </w:r>
      <w:r>
        <w:rPr>
          <w:rFonts w:cs="Arial"/>
          <w:szCs w:val="22"/>
        </w:rPr>
        <w:t xml:space="preserve">(OWASP) no endereço </w:t>
      </w:r>
      <w:r w:rsidRPr="004D375F">
        <w:rPr>
          <w:rFonts w:cs="Arial"/>
          <w:szCs w:val="22"/>
        </w:rPr>
        <w:t>https://www.owasp.org/index.php/Top_10_2013-Top_10</w:t>
      </w:r>
      <w:r>
        <w:rPr>
          <w:rFonts w:cs="Arial"/>
          <w:szCs w:val="22"/>
        </w:rPr>
        <w:t xml:space="preserve"> </w:t>
      </w:r>
      <w:r w:rsidRPr="00432BE4">
        <w:rPr>
          <w:rFonts w:cs="Arial"/>
          <w:szCs w:val="22"/>
        </w:rPr>
        <w:t>e na classificação de risco disponível na circular interna “Gestão de Riscos em Segurança da Informação”.</w:t>
      </w:r>
      <w:bookmarkStart w:id="3" w:name="_Toc417056441"/>
    </w:p>
    <w:p w:rsidR="008669CC" w:rsidRPr="004D375F" w:rsidRDefault="008669CC" w:rsidP="008669CC">
      <w:pPr>
        <w:rPr>
          <w:rFonts w:cs="Arial"/>
          <w:szCs w:val="22"/>
        </w:rPr>
      </w:pPr>
    </w:p>
    <w:p w:rsidR="008669CC" w:rsidRDefault="008669CC" w:rsidP="008669CC">
      <w:pPr>
        <w:pStyle w:val="Ttulo2"/>
      </w:pPr>
      <w:bookmarkStart w:id="4" w:name="_Toc481660349"/>
      <w:r w:rsidRPr="0086105C">
        <w:t xml:space="preserve">Parâmetros para </w:t>
      </w:r>
      <w:bookmarkEnd w:id="3"/>
      <w:r w:rsidRPr="0086105C">
        <w:t>classificação de severidade</w:t>
      </w:r>
      <w:bookmarkEnd w:id="4"/>
    </w:p>
    <w:p w:rsidR="008669CC" w:rsidRDefault="008669CC" w:rsidP="008669CC">
      <w:pPr>
        <w:rPr>
          <w:noProof/>
          <w:lang w:eastAsia="pt-BR"/>
        </w:rPr>
      </w:pPr>
      <w:r>
        <w:t>Os parâmetros utilizados para a classificação são baseados na metodologia aplicada pelo CVSS (</w:t>
      </w:r>
      <w:r w:rsidRPr="0086105C">
        <w:t xml:space="preserve">Common </w:t>
      </w:r>
      <w:proofErr w:type="spellStart"/>
      <w:r w:rsidRPr="0086105C">
        <w:t>Vulnerability</w:t>
      </w:r>
      <w:proofErr w:type="spellEnd"/>
      <w:r w:rsidRPr="0086105C">
        <w:t xml:space="preserve"> </w:t>
      </w:r>
      <w:proofErr w:type="spellStart"/>
      <w:r w:rsidRPr="0086105C">
        <w:t>Scoring</w:t>
      </w:r>
      <w:proofErr w:type="spellEnd"/>
      <w:r w:rsidRPr="0086105C">
        <w:t xml:space="preserve"> System</w:t>
      </w:r>
      <w:r>
        <w:t>).</w:t>
      </w:r>
      <w:r w:rsidRPr="00A02A37">
        <w:rPr>
          <w:noProof/>
          <w:lang w:eastAsia="pt-BR"/>
        </w:rPr>
        <w:t xml:space="preserve"> </w:t>
      </w:r>
    </w:p>
    <w:p w:rsidR="008669CC" w:rsidRDefault="008669CC" w:rsidP="008669CC">
      <w:pPr>
        <w:rPr>
          <w:noProof/>
          <w:lang w:eastAsia="pt-BR"/>
        </w:rPr>
      </w:pPr>
    </w:p>
    <w:p w:rsidR="008669CC" w:rsidRDefault="008669CC" w:rsidP="008669CC">
      <w:pPr>
        <w:jc w:val="center"/>
      </w:pPr>
      <w:r>
        <w:rPr>
          <w:noProof/>
          <w:lang w:eastAsia="pt-BR"/>
        </w:rPr>
        <w:drawing>
          <wp:inline distT="0" distB="0" distL="0" distR="0" wp14:anchorId="34230DF6" wp14:editId="3FDB662B">
            <wp:extent cx="5305425" cy="315277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94" t="898"/>
                    <a:stretch/>
                  </pic:blipFill>
                  <pic:spPr bwMode="auto"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CC" w:rsidRDefault="008669CC" w:rsidP="008669CC">
      <w:pPr>
        <w:jc w:val="center"/>
      </w:pPr>
    </w:p>
    <w:p w:rsidR="008669CC" w:rsidRDefault="008669CC" w:rsidP="008669CC">
      <w:r>
        <w:t>A pontuação base (Base Score) representa as características intrínsecas de uma vulnerabilidade que são constantes. É composta de dois conjuntos de métricas: as métricas de exploração e as de impacto.</w:t>
      </w:r>
    </w:p>
    <w:p w:rsidR="008669CC" w:rsidRDefault="008669CC" w:rsidP="008669CC">
      <w:r>
        <w:t>As métricas de exploração são: vetor de ataque (rede, redes adjacentes, local, físico), complexidade de ataque (baixa, alta), privilégios requeridos (nenhum, baixo, alto), interação de usuário (nenhuma, requerida).</w:t>
      </w:r>
    </w:p>
    <w:p w:rsidR="008669CC" w:rsidRDefault="008669CC" w:rsidP="008669CC">
      <w:r>
        <w:t>As métricas de impacto são: impacto na confidencialidade (nenhum, baixo, alto), impacto na integridade (nenhum, baixo, alto), impacto na disponibilidade (nenhum, baixo, alto).</w:t>
      </w:r>
    </w:p>
    <w:p w:rsidR="008669CC" w:rsidRDefault="008669CC" w:rsidP="008669CC">
      <w:r>
        <w:t>A métrica global considerada é o escopo (muda, não muda), ou seja, se a exploração da vulnerabilidade levaria a uma mudança no escopo pretendido da funcionalidade.</w:t>
      </w:r>
    </w:p>
    <w:p w:rsidR="008669CC" w:rsidRDefault="008669CC" w:rsidP="008669CC">
      <w:r>
        <w:t>Ao final, é calculada a severidade generalizada da vulnerabilidade, a qual utilizamos como base para informar a severidade dentro do contexto em que a aplicação se insere.</w:t>
      </w:r>
    </w:p>
    <w:p w:rsidR="008669CC" w:rsidRPr="00A02A37" w:rsidRDefault="008669CC" w:rsidP="008669CC">
      <w:pPr>
        <w:jc w:val="center"/>
      </w:pPr>
    </w:p>
    <w:p w:rsidR="008669CC" w:rsidRPr="00A02A37" w:rsidRDefault="008669CC" w:rsidP="008669CC">
      <w:pPr>
        <w:jc w:val="center"/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1"/>
      </w:tblGrid>
      <w:tr w:rsidR="008669CC" w:rsidRPr="00474EBD" w:rsidTr="00AA7FFE">
        <w:trPr>
          <w:trHeight w:val="405"/>
          <w:jc w:val="center"/>
        </w:trPr>
        <w:tc>
          <w:tcPr>
            <w:tcW w:w="2080" w:type="dxa"/>
            <w:tcBorders>
              <w:top w:val="single" w:sz="4" w:space="0" w:color="FFFFFF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757171"/>
            <w:vAlign w:val="center"/>
            <w:hideMark/>
          </w:tcPr>
          <w:p w:rsidR="008669CC" w:rsidRPr="007C05FA" w:rsidRDefault="008669CC" w:rsidP="00AA7FFE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Severidade</w:t>
            </w:r>
          </w:p>
        </w:tc>
        <w:tc>
          <w:tcPr>
            <w:tcW w:w="8121" w:type="dxa"/>
            <w:tcBorders>
              <w:top w:val="single" w:sz="4" w:space="0" w:color="FFFFFF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757171"/>
            <w:vAlign w:val="center"/>
            <w:hideMark/>
          </w:tcPr>
          <w:p w:rsidR="008669CC" w:rsidRPr="007C05FA" w:rsidRDefault="008669CC" w:rsidP="00AA7FFE">
            <w:pPr>
              <w:rPr>
                <w:b/>
                <w:bCs/>
                <w:color w:val="FFFFFF"/>
              </w:rPr>
            </w:pPr>
            <w:r w:rsidRPr="007C05FA">
              <w:rPr>
                <w:b/>
                <w:bCs/>
                <w:color w:val="FFFFFF"/>
              </w:rPr>
              <w:t>Exemplos de classificação de vulnerabilidades</w:t>
            </w:r>
          </w:p>
        </w:tc>
      </w:tr>
      <w:tr w:rsidR="008669CC" w:rsidRPr="00474EBD" w:rsidTr="00AA7FFE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560882"/>
            <w:vAlign w:val="center"/>
            <w:hideMark/>
          </w:tcPr>
          <w:p w:rsidR="008669CC" w:rsidRPr="00474EBD" w:rsidRDefault="008669CC" w:rsidP="00AA7FFE">
            <w:pPr>
              <w:jc w:val="center"/>
              <w:rPr>
                <w:color w:val="FFFFFF"/>
                <w:highlight w:val="yellow"/>
              </w:rPr>
            </w:pPr>
            <w:r w:rsidRPr="007C05FA">
              <w:rPr>
                <w:color w:val="FFFFFF"/>
              </w:rPr>
              <w:t>Cr</w:t>
            </w:r>
            <w:r>
              <w:rPr>
                <w:color w:val="FFFFFF"/>
              </w:rPr>
              <w:t>ítica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E7E6E6"/>
            <w:vAlign w:val="center"/>
            <w:hideMark/>
          </w:tcPr>
          <w:p w:rsidR="008669CC" w:rsidRPr="007C05FA" w:rsidRDefault="008669CC" w:rsidP="00AA7FFE">
            <w:pPr>
              <w:rPr>
                <w:b/>
                <w:color w:val="000000"/>
              </w:rPr>
            </w:pPr>
            <w:r w:rsidRPr="007C05FA">
              <w:rPr>
                <w:b/>
                <w:color w:val="000000"/>
              </w:rPr>
              <w:t xml:space="preserve">SQL </w:t>
            </w:r>
            <w:proofErr w:type="spellStart"/>
            <w:r w:rsidRPr="007C05FA">
              <w:rPr>
                <w:b/>
                <w:color w:val="000000"/>
              </w:rPr>
              <w:t>Injection</w:t>
            </w:r>
            <w:proofErr w:type="spellEnd"/>
            <w:r w:rsidRPr="007C05FA">
              <w:rPr>
                <w:b/>
                <w:color w:val="000000"/>
              </w:rPr>
              <w:t xml:space="preserve"> com usuário da aplicação possuindo privilégio de DBA.</w:t>
            </w:r>
          </w:p>
          <w:p w:rsidR="008669CC" w:rsidRPr="007C05FA" w:rsidRDefault="008669CC" w:rsidP="00AA7FFE">
            <w:pPr>
              <w:rPr>
                <w:color w:val="000000"/>
                <w:highlight w:val="yellow"/>
              </w:rPr>
            </w:pPr>
            <w:r w:rsidRPr="007C05FA">
              <w:rPr>
                <w:color w:val="000000"/>
              </w:rPr>
              <w:t>A exploração desta vulnerabilidade comprometeria simultaneamente a disponibilidade, integridade e confidencialidade das informações, caracterizando um impacto crítico.</w:t>
            </w:r>
          </w:p>
        </w:tc>
      </w:tr>
      <w:tr w:rsidR="008669CC" w:rsidRPr="004F6744" w:rsidTr="00AA7FFE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0000"/>
            <w:vAlign w:val="center"/>
            <w:hideMark/>
          </w:tcPr>
          <w:p w:rsidR="008669CC" w:rsidRPr="00474EBD" w:rsidRDefault="008669CC" w:rsidP="00AA7FFE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AEAAAA"/>
            <w:vAlign w:val="center"/>
          </w:tcPr>
          <w:p w:rsidR="008669CC" w:rsidRPr="004D375F" w:rsidRDefault="008669CC" w:rsidP="00AA7FFE">
            <w:pPr>
              <w:rPr>
                <w:b/>
                <w:color w:val="000000"/>
              </w:rPr>
            </w:pPr>
            <w:r w:rsidRPr="004D375F">
              <w:rPr>
                <w:b/>
                <w:color w:val="000000"/>
              </w:rPr>
              <w:t xml:space="preserve">XSS (Cross-Site </w:t>
            </w:r>
            <w:proofErr w:type="spellStart"/>
            <w:r w:rsidRPr="004D375F">
              <w:rPr>
                <w:b/>
                <w:color w:val="000000"/>
              </w:rPr>
              <w:t>Scripting</w:t>
            </w:r>
            <w:proofErr w:type="spellEnd"/>
            <w:r w:rsidRPr="004D375F">
              <w:rPr>
                <w:b/>
                <w:color w:val="000000"/>
              </w:rPr>
              <w:t>)</w:t>
            </w:r>
          </w:p>
          <w:p w:rsidR="008669CC" w:rsidRPr="004F6744" w:rsidRDefault="008669CC" w:rsidP="00AA7FFE">
            <w:pPr>
              <w:rPr>
                <w:color w:val="000000"/>
                <w:highlight w:val="yellow"/>
              </w:rPr>
            </w:pPr>
            <w:r w:rsidRPr="004F6744">
              <w:rPr>
                <w:color w:val="000000"/>
              </w:rPr>
              <w:t>A exploração desta vulnerabilidade comprometeria</w:t>
            </w:r>
            <w:r>
              <w:rPr>
                <w:color w:val="000000"/>
              </w:rPr>
              <w:t xml:space="preserve"> a integridade e confidencialidade das informações, caracterizando um impacto alto.</w:t>
            </w:r>
          </w:p>
        </w:tc>
      </w:tr>
      <w:tr w:rsidR="008669CC" w:rsidRPr="00474EBD" w:rsidTr="00AA7FFE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FC000"/>
            <w:vAlign w:val="center"/>
            <w:hideMark/>
          </w:tcPr>
          <w:p w:rsidR="008669CC" w:rsidRPr="00474EBD" w:rsidRDefault="008669CC" w:rsidP="00AA7FFE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E7E6E6"/>
            <w:vAlign w:val="center"/>
            <w:hideMark/>
          </w:tcPr>
          <w:p w:rsidR="008669CC" w:rsidRDefault="008669CC" w:rsidP="00AA7FFE">
            <w:pPr>
              <w:rPr>
                <w:b/>
                <w:color w:val="000000"/>
              </w:rPr>
            </w:pPr>
            <w:r w:rsidRPr="00D93E8D">
              <w:rPr>
                <w:b/>
                <w:color w:val="000000"/>
              </w:rPr>
              <w:t>Mecanismo de bl</w:t>
            </w:r>
            <w:r>
              <w:rPr>
                <w:b/>
                <w:color w:val="000000"/>
              </w:rPr>
              <w:t>oqueio de conta</w:t>
            </w:r>
            <w:r w:rsidRPr="00D93E8D">
              <w:rPr>
                <w:b/>
                <w:color w:val="000000"/>
              </w:rPr>
              <w:t>.</w:t>
            </w:r>
          </w:p>
          <w:p w:rsidR="008669CC" w:rsidRPr="00D93E8D" w:rsidRDefault="008669CC" w:rsidP="00AA7FFE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A exploração desta vulnerabilidade comprometeria a disponibilidade da funcionalidade de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 xml:space="preserve"> da aplicação através de um ataque de Negação de Serviço, caracterizando um impacto médio.</w:t>
            </w:r>
          </w:p>
        </w:tc>
      </w:tr>
      <w:tr w:rsidR="008669CC" w:rsidRPr="00722222" w:rsidTr="00AA7FFE">
        <w:trPr>
          <w:trHeight w:val="1399"/>
          <w:jc w:val="center"/>
        </w:trPr>
        <w:tc>
          <w:tcPr>
            <w:tcW w:w="2080" w:type="dxa"/>
            <w:tcBorders>
              <w:top w:val="nil"/>
              <w:left w:val="single" w:sz="4" w:space="0" w:color="F2F2F2"/>
              <w:bottom w:val="single" w:sz="4" w:space="0" w:color="FFFFFF"/>
              <w:right w:val="single" w:sz="4" w:space="0" w:color="F2F2F2"/>
            </w:tcBorders>
            <w:shd w:val="clear" w:color="000000" w:fill="00B0F0"/>
            <w:vAlign w:val="center"/>
            <w:hideMark/>
          </w:tcPr>
          <w:p w:rsidR="008669CC" w:rsidRPr="00474EBD" w:rsidRDefault="008669CC" w:rsidP="00AA7FFE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Baixa</w:t>
            </w:r>
          </w:p>
        </w:tc>
        <w:tc>
          <w:tcPr>
            <w:tcW w:w="8121" w:type="dxa"/>
            <w:tcBorders>
              <w:top w:val="nil"/>
              <w:left w:val="nil"/>
              <w:bottom w:val="single" w:sz="4" w:space="0" w:color="FFFFFF"/>
              <w:right w:val="single" w:sz="8" w:space="0" w:color="F2F2F2"/>
            </w:tcBorders>
            <w:shd w:val="clear" w:color="000000" w:fill="AEAAAA"/>
            <w:vAlign w:val="center"/>
            <w:hideMark/>
          </w:tcPr>
          <w:p w:rsidR="008669CC" w:rsidRDefault="008669CC" w:rsidP="00AA7FFE">
            <w:pPr>
              <w:rPr>
                <w:b/>
                <w:color w:val="000000"/>
              </w:rPr>
            </w:pPr>
            <w:r w:rsidRPr="004F6744">
              <w:rPr>
                <w:b/>
                <w:color w:val="000000"/>
              </w:rPr>
              <w:t>Vazamento de informações através de mensagens de erro.</w:t>
            </w:r>
          </w:p>
          <w:p w:rsidR="008669CC" w:rsidRPr="004F6744" w:rsidRDefault="008669CC" w:rsidP="00AA7FFE">
            <w:pPr>
              <w:rPr>
                <w:color w:val="000000"/>
              </w:rPr>
            </w:pPr>
            <w:r>
              <w:rPr>
                <w:color w:val="000000"/>
              </w:rPr>
              <w:t>A exploração desta vulnerabilidade não comprometeria diretamente a aplicação, porém as informações obtidas podem ser utilizadas para realizar ataques mais elaborados à aplicação.</w:t>
            </w:r>
          </w:p>
        </w:tc>
      </w:tr>
    </w:tbl>
    <w:p w:rsidR="008669CC" w:rsidRDefault="008669CC" w:rsidP="008669CC">
      <w:pPr>
        <w:spacing w:after="200"/>
        <w:rPr>
          <w:smallCaps/>
          <w:color w:val="44546A" w:themeColor="text2"/>
          <w:spacing w:val="5"/>
          <w:sz w:val="32"/>
          <w:szCs w:val="32"/>
        </w:rPr>
      </w:pPr>
    </w:p>
    <w:p w:rsidR="008669CC" w:rsidRDefault="008669CC" w:rsidP="008669CC">
      <w:pPr>
        <w:spacing w:after="200"/>
        <w:rPr>
          <w:smallCaps/>
          <w:color w:val="44546A" w:themeColor="text2"/>
          <w:spacing w:val="5"/>
          <w:sz w:val="32"/>
          <w:szCs w:val="32"/>
        </w:rPr>
      </w:pPr>
      <w:r>
        <w:rPr>
          <w:smallCaps/>
          <w:color w:val="44546A" w:themeColor="text2"/>
          <w:spacing w:val="5"/>
          <w:sz w:val="32"/>
          <w:szCs w:val="32"/>
        </w:rPr>
        <w:br w:type="page"/>
      </w:r>
    </w:p>
    <w:p w:rsidR="008669CC" w:rsidRDefault="008669CC" w:rsidP="008669CC">
      <w:pPr>
        <w:pStyle w:val="Ttulo1"/>
      </w:pPr>
      <w:bookmarkStart w:id="5" w:name="_Toc481660350"/>
      <w:r w:rsidRPr="00F65420">
        <w:lastRenderedPageBreak/>
        <w:t xml:space="preserve">Prazos para correção das vulnerabilidades </w:t>
      </w:r>
      <w:r>
        <w:t>e</w:t>
      </w:r>
      <w:r w:rsidRPr="00F65420">
        <w:t>ncon</w:t>
      </w:r>
      <w:r>
        <w:t>tradas</w:t>
      </w:r>
      <w:bookmarkEnd w:id="5"/>
    </w:p>
    <w:p w:rsidR="008669CC" w:rsidRDefault="008669CC" w:rsidP="008669CC">
      <w:pPr>
        <w:rPr>
          <w:rFonts w:cs="Arial"/>
        </w:rPr>
      </w:pPr>
      <w:r>
        <w:rPr>
          <w:rFonts w:cs="Arial"/>
        </w:rPr>
        <w:t xml:space="preserve">Prazo para correção de acordo com o documento </w:t>
      </w:r>
      <w:r w:rsidRPr="00F65420">
        <w:rPr>
          <w:rFonts w:cs="Arial"/>
          <w:u w:val="single"/>
        </w:rPr>
        <w:t>Procedimento Análise de Vulnerabilidade</w:t>
      </w:r>
      <w:r>
        <w:rPr>
          <w:rFonts w:cs="Arial"/>
        </w:rPr>
        <w:t xml:space="preserve"> disponível no link: </w:t>
      </w:r>
    </w:p>
    <w:p w:rsidR="008669CC" w:rsidRDefault="008669CC" w:rsidP="008669CC">
      <w:pPr>
        <w:rPr>
          <w:rFonts w:cs="Arial"/>
        </w:rPr>
      </w:pPr>
    </w:p>
    <w:p w:rsidR="008669CC" w:rsidRDefault="008669CC" w:rsidP="008669CC">
      <w:pPr>
        <w:rPr>
          <w:rFonts w:cs="Arial"/>
        </w:rPr>
      </w:pPr>
      <w:r w:rsidRPr="00722222">
        <w:rPr>
          <w:rFonts w:cs="Arial"/>
        </w:rPr>
        <w:t>http://sscorp2.itau/sites/dsc/lib_seguranca_informacao_canais/pages/analise_vulnerabilidade.aspx</w:t>
      </w:r>
    </w:p>
    <w:p w:rsidR="008669CC" w:rsidRPr="00F65420" w:rsidRDefault="008669CC" w:rsidP="008669CC">
      <w:pPr>
        <w:rPr>
          <w:rFonts w:cs="Arial"/>
        </w:rPr>
      </w:pPr>
    </w:p>
    <w:tbl>
      <w:tblPr>
        <w:tblW w:w="95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997"/>
        <w:gridCol w:w="1418"/>
        <w:gridCol w:w="1417"/>
        <w:gridCol w:w="1418"/>
        <w:gridCol w:w="1880"/>
      </w:tblGrid>
      <w:tr w:rsidR="008669CC" w:rsidRPr="00DD4100" w:rsidTr="00AA7FFE">
        <w:trPr>
          <w:trHeight w:val="300"/>
          <w:jc w:val="center"/>
        </w:trPr>
        <w:tc>
          <w:tcPr>
            <w:tcW w:w="9530" w:type="dxa"/>
            <w:gridSpan w:val="6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single" w:sz="4" w:space="0" w:color="5B9BD5" w:themeColor="accent1"/>
            </w:tcBorders>
            <w:shd w:val="clear" w:color="auto" w:fill="auto"/>
            <w:noWrap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Novas aplicações</w:t>
            </w:r>
          </w:p>
        </w:tc>
      </w:tr>
      <w:tr w:rsidR="008669CC" w:rsidRPr="00DD4100" w:rsidTr="00AA7FFE">
        <w:trPr>
          <w:trHeight w:val="315"/>
          <w:jc w:val="center"/>
        </w:trPr>
        <w:tc>
          <w:tcPr>
            <w:tcW w:w="1400" w:type="dxa"/>
            <w:tcBorders>
              <w:top w:val="nil"/>
              <w:left w:val="single" w:sz="4" w:space="0" w:color="5B9BD5" w:themeColor="accent1"/>
              <w:bottom w:val="single" w:sz="12" w:space="0" w:color="002060"/>
              <w:right w:val="nil"/>
            </w:tcBorders>
            <w:shd w:val="clear" w:color="auto" w:fill="auto"/>
            <w:noWrap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Plano de ação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12" w:space="0" w:color="002060"/>
              <w:right w:val="nil"/>
            </w:tcBorders>
            <w:shd w:val="clear" w:color="auto" w:fill="auto"/>
            <w:noWrap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560882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FFFFFF"/>
                <w:sz w:val="18"/>
                <w:szCs w:val="18"/>
              </w:rPr>
            </w:pPr>
            <w:r w:rsidRPr="00DD4100">
              <w:rPr>
                <w:color w:val="FFFFFF"/>
                <w:sz w:val="18"/>
                <w:szCs w:val="18"/>
              </w:rPr>
              <w:t>Crítica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FF0000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FFC000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002060"/>
              <w:right w:val="single" w:sz="4" w:space="0" w:color="5B9BD5" w:themeColor="accent1"/>
            </w:tcBorders>
            <w:shd w:val="clear" w:color="000000" w:fill="00B0F0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Baixa</w:t>
            </w:r>
          </w:p>
        </w:tc>
      </w:tr>
      <w:tr w:rsidR="008669CC" w:rsidRPr="00DD4100" w:rsidTr="00AA7FFE">
        <w:trPr>
          <w:trHeight w:val="315"/>
          <w:jc w:val="center"/>
        </w:trPr>
        <w:tc>
          <w:tcPr>
            <w:tcW w:w="1400" w:type="dxa"/>
            <w:vMerge w:val="restart"/>
            <w:tcBorders>
              <w:top w:val="nil"/>
              <w:left w:val="single" w:sz="4" w:space="0" w:color="5B9BD5" w:themeColor="accent1"/>
              <w:bottom w:val="single" w:sz="12" w:space="0" w:color="002060"/>
              <w:right w:val="nil"/>
            </w:tcBorders>
            <w:shd w:val="clear" w:color="auto" w:fill="auto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Elaboração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Correção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nil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F2F2F2"/>
              <w:right w:val="single" w:sz="4" w:space="0" w:color="5B9BD5" w:themeColor="accent1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15 dias</w:t>
            </w:r>
          </w:p>
        </w:tc>
      </w:tr>
      <w:tr w:rsidR="008669CC" w:rsidRPr="00DD4100" w:rsidTr="00AA7FFE">
        <w:trPr>
          <w:trHeight w:val="567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5B9BD5" w:themeColor="accent1"/>
              <w:bottom w:val="single" w:sz="12" w:space="0" w:color="002060"/>
              <w:right w:val="nil"/>
            </w:tcBorders>
            <w:vAlign w:val="center"/>
            <w:hideMark/>
          </w:tcPr>
          <w:p w:rsidR="008669CC" w:rsidRPr="00DD4100" w:rsidRDefault="008669CC" w:rsidP="00AA7FF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Comunicação para Superintendente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F2F2F2"/>
              <w:right w:val="single" w:sz="4" w:space="0" w:color="5B9BD5" w:themeColor="accent1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25 dias pós produção</w:t>
            </w:r>
          </w:p>
        </w:tc>
      </w:tr>
      <w:tr w:rsidR="008669CC" w:rsidRPr="00DD4100" w:rsidTr="00AA7FFE">
        <w:trPr>
          <w:trHeight w:val="405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5B9BD5" w:themeColor="accent1"/>
              <w:bottom w:val="single" w:sz="12" w:space="0" w:color="002060"/>
              <w:right w:val="nil"/>
            </w:tcBorders>
            <w:vAlign w:val="center"/>
            <w:hideMark/>
          </w:tcPr>
          <w:p w:rsidR="008669CC" w:rsidRPr="00DD4100" w:rsidRDefault="008669CC" w:rsidP="00AA7FF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Comunicação para Diretor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F2F2F2"/>
              <w:right w:val="single" w:sz="4" w:space="0" w:color="5B9BD5" w:themeColor="accent1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35 dias pós produção</w:t>
            </w:r>
          </w:p>
        </w:tc>
      </w:tr>
      <w:tr w:rsidR="008669CC" w:rsidRPr="00DD4100" w:rsidTr="00AA7FFE">
        <w:trPr>
          <w:trHeight w:val="457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5B9BD5" w:themeColor="accent1"/>
              <w:bottom w:val="single" w:sz="12" w:space="0" w:color="002060"/>
              <w:right w:val="nil"/>
            </w:tcBorders>
            <w:vAlign w:val="center"/>
            <w:hideMark/>
          </w:tcPr>
          <w:p w:rsidR="008669CC" w:rsidRPr="00DD4100" w:rsidRDefault="008669CC" w:rsidP="00AA7FF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12" w:space="0" w:color="002060"/>
              <w:right w:val="nil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Abertura de OY</w:t>
            </w:r>
          </w:p>
        </w:tc>
        <w:tc>
          <w:tcPr>
            <w:tcW w:w="1418" w:type="dxa"/>
            <w:tcBorders>
              <w:top w:val="nil"/>
              <w:left w:val="single" w:sz="4" w:space="0" w:color="F2F2F2"/>
              <w:bottom w:val="single" w:sz="12" w:space="0" w:color="002060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2060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002060"/>
              <w:right w:val="single" w:sz="4" w:space="0" w:color="5B9BD5" w:themeColor="accent1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45 dias pós produção</w:t>
            </w:r>
          </w:p>
        </w:tc>
      </w:tr>
      <w:tr w:rsidR="008669CC" w:rsidRPr="00DD4100" w:rsidTr="00AA7FFE">
        <w:trPr>
          <w:trHeight w:val="437"/>
          <w:jc w:val="center"/>
        </w:trPr>
        <w:tc>
          <w:tcPr>
            <w:tcW w:w="1400" w:type="dxa"/>
            <w:vMerge w:val="restart"/>
            <w:tcBorders>
              <w:top w:val="nil"/>
              <w:left w:val="single" w:sz="4" w:space="0" w:color="5B9BD5" w:themeColor="accent1"/>
              <w:bottom w:val="single" w:sz="4" w:space="0" w:color="FFFFFF"/>
              <w:right w:val="nil"/>
            </w:tcBorders>
            <w:shd w:val="clear" w:color="auto" w:fill="auto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Correção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Prazo para conclusão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F2F2F2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  <w:shd w:val="clear" w:color="000000" w:fill="E7E6E6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prazo</w:t>
            </w:r>
          </w:p>
        </w:tc>
      </w:tr>
      <w:tr w:rsidR="008669CC" w:rsidRPr="00DD4100" w:rsidTr="00AA7FFE">
        <w:trPr>
          <w:trHeight w:val="523"/>
          <w:jc w:val="center"/>
        </w:trPr>
        <w:tc>
          <w:tcPr>
            <w:tcW w:w="1400" w:type="dxa"/>
            <w:vMerge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vAlign w:val="center"/>
            <w:hideMark/>
          </w:tcPr>
          <w:p w:rsidR="008669CC" w:rsidRPr="00DD4100" w:rsidRDefault="008669CC" w:rsidP="00AA7FF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Abertura de OY</w:t>
            </w:r>
          </w:p>
        </w:tc>
        <w:tc>
          <w:tcPr>
            <w:tcW w:w="1418" w:type="dxa"/>
            <w:tcBorders>
              <w:top w:val="single" w:sz="4" w:space="0" w:color="F2F2F2"/>
              <w:left w:val="single" w:sz="4" w:space="0" w:color="F2F2F2"/>
              <w:bottom w:val="single" w:sz="4" w:space="0" w:color="5B9BD5" w:themeColor="accent1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produção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produção</w:t>
            </w:r>
          </w:p>
        </w:tc>
        <w:tc>
          <w:tcPr>
            <w:tcW w:w="1418" w:type="dxa"/>
            <w:tcBorders>
              <w:top w:val="single" w:sz="4" w:space="0" w:color="F2F2F2"/>
              <w:left w:val="nil"/>
              <w:bottom w:val="single" w:sz="4" w:space="0" w:color="5B9BD5" w:themeColor="accent1"/>
              <w:right w:val="single" w:sz="4" w:space="0" w:color="F2F2F2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Imediata pós produção</w:t>
            </w:r>
          </w:p>
        </w:tc>
        <w:tc>
          <w:tcPr>
            <w:tcW w:w="1880" w:type="dxa"/>
            <w:tcBorders>
              <w:top w:val="single" w:sz="4" w:space="0" w:color="F2F2F2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000000" w:fill="AEAAAA"/>
            <w:vAlign w:val="center"/>
            <w:hideMark/>
          </w:tcPr>
          <w:p w:rsidR="008669CC" w:rsidRPr="00DD4100" w:rsidRDefault="008669CC" w:rsidP="00AA7FFE">
            <w:pPr>
              <w:jc w:val="center"/>
              <w:rPr>
                <w:color w:val="000000"/>
                <w:sz w:val="18"/>
                <w:szCs w:val="18"/>
              </w:rPr>
            </w:pPr>
            <w:r w:rsidRPr="00DD4100">
              <w:rPr>
                <w:color w:val="000000"/>
                <w:sz w:val="18"/>
                <w:szCs w:val="18"/>
              </w:rPr>
              <w:t>15 dias pós prazo</w:t>
            </w:r>
          </w:p>
        </w:tc>
      </w:tr>
    </w:tbl>
    <w:p w:rsidR="008669CC" w:rsidRDefault="008669CC" w:rsidP="008669CC"/>
    <w:p w:rsidR="008669CC" w:rsidRDefault="008669CC" w:rsidP="008669CC"/>
    <w:p w:rsidR="00FD655E" w:rsidRDefault="008669CC"/>
    <w:sectPr w:rsidR="00FD655E" w:rsidSect="002B7C72">
      <w:headerReference w:type="default" r:id="rId6"/>
      <w:footerReference w:type="default" r:id="rId7"/>
      <w:pgSz w:w="11907" w:h="16840" w:code="9"/>
      <w:pgMar w:top="567" w:right="1134" w:bottom="851" w:left="1418" w:header="850" w:footer="68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804"/>
      <w:gridCol w:w="1418"/>
    </w:tblGrid>
    <w:tr w:rsidR="002B7C72" w:rsidRPr="002B515E" w:rsidTr="002B7C72">
      <w:trPr>
        <w:trHeight w:val="273"/>
      </w:trPr>
      <w:tc>
        <w:tcPr>
          <w:tcW w:w="1134" w:type="dxa"/>
        </w:tcPr>
        <w:p w:rsidR="002B7C72" w:rsidRPr="002B515E" w:rsidRDefault="008669CC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z w:val="16"/>
              <w:szCs w:val="16"/>
            </w:rPr>
            <w:t>Confidencial</w:t>
          </w:r>
        </w:p>
      </w:tc>
      <w:tc>
        <w:tcPr>
          <w:tcW w:w="6804" w:type="dxa"/>
        </w:tcPr>
        <w:p w:rsidR="002B7C72" w:rsidRPr="002B515E" w:rsidRDefault="008669CC" w:rsidP="002B7C72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Análise de Vulnerabilidades</w:t>
          </w:r>
        </w:p>
      </w:tc>
      <w:tc>
        <w:tcPr>
          <w:tcW w:w="1418" w:type="dxa"/>
        </w:tcPr>
        <w:p w:rsidR="002B7C72" w:rsidRPr="002B515E" w:rsidRDefault="008669CC" w:rsidP="002B7C72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Página: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B515E">
            <w:rPr>
              <w:rFonts w:ascii="Arial" w:hAnsi="Arial" w:cs="Arial"/>
              <w:sz w:val="16"/>
              <w:szCs w:val="16"/>
            </w:rPr>
            <w:t xml:space="preserve"> </w:t>
          </w: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de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2B7C72" w:rsidRPr="002B515E" w:rsidRDefault="008669CC" w:rsidP="002B7C72">
    <w:pPr>
      <w:pStyle w:val="Advertencia"/>
      <w:rPr>
        <w:rFonts w:cs="Arial"/>
        <w:i w:val="0"/>
        <w:sz w:val="16"/>
        <w:szCs w:val="16"/>
      </w:rPr>
    </w:pPr>
  </w:p>
  <w:p w:rsidR="002B7C72" w:rsidRDefault="008669CC"/>
  <w:p w:rsidR="002B7C72" w:rsidRDefault="008669CC" w:rsidP="002B7C7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82"/>
      <w:tblW w:w="10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0"/>
      <w:gridCol w:w="7500"/>
    </w:tblGrid>
    <w:tr w:rsidR="002B7C72" w:rsidRPr="00AC4E5C" w:rsidTr="002B7C72">
      <w:trPr>
        <w:trHeight w:val="557"/>
      </w:trPr>
      <w:tc>
        <w:tcPr>
          <w:tcW w:w="2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AC4E5C" w:rsidRDefault="008669CC" w:rsidP="002B7C72">
          <w:pPr>
            <w:jc w:val="cent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D972A8A" wp14:editId="4B47C0E8">
                <wp:simplePos x="1343025" y="6572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9775" cy="285750"/>
                <wp:effectExtent l="0" t="0" r="0" b="0"/>
                <wp:wrapSquare wrapText="bothSides"/>
                <wp:docPr id="1" name="Imagem 1" descr="https://bankline.itau.com.br/V1/UNICLASS/IMG/logo_ita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bankline.itau.com.br/V1/UNICLASS/IMG/logo_ita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6F761E" w:rsidRDefault="008669CC" w:rsidP="00E029E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Análise de </w:t>
          </w:r>
          <w:r>
            <w:rPr>
              <w:sz w:val="22"/>
              <w:szCs w:val="22"/>
            </w:rPr>
            <w:t>Vulnerabilidades</w:t>
          </w:r>
          <w:r w:rsidRPr="006F761E">
            <w:rPr>
              <w:sz w:val="22"/>
              <w:szCs w:val="22"/>
            </w:rPr>
            <w:t xml:space="preserve"> – </w:t>
          </w:r>
          <w:r>
            <w:rPr>
              <w:sz w:val="22"/>
              <w:szCs w:val="22"/>
            </w:rPr>
            <w:t>PMS [Nº]</w:t>
          </w:r>
        </w:p>
      </w:tc>
    </w:tr>
  </w:tbl>
  <w:p w:rsidR="002B7C72" w:rsidRPr="001E6B18" w:rsidRDefault="008669CC" w:rsidP="002B7C72">
    <w:pPr>
      <w:pStyle w:val="Cabealho"/>
      <w:rPr>
        <w:rFonts w:cs="Arial"/>
        <w:sz w:val="8"/>
        <w:u w:val="single"/>
      </w:rPr>
    </w:pPr>
  </w:p>
  <w:p w:rsidR="002B7C72" w:rsidRDefault="008669CC" w:rsidP="002B7C72">
    <w:pPr>
      <w:pStyle w:val="Cabealho"/>
      <w:rPr>
        <w:rFonts w:cs="Arial"/>
        <w:sz w:val="8"/>
      </w:rPr>
    </w:pPr>
  </w:p>
  <w:p w:rsidR="002B7C72" w:rsidRDefault="008669CC" w:rsidP="002B7C72">
    <w:pPr>
      <w:pStyle w:val="Cabealho"/>
      <w:rPr>
        <w:rFonts w:cs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0387D"/>
    <w:multiLevelType w:val="multilevel"/>
    <w:tmpl w:val="F50A3A80"/>
    <w:lvl w:ilvl="0">
      <w:start w:val="6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CD"/>
    <w:rsid w:val="003D6C94"/>
    <w:rsid w:val="00436D15"/>
    <w:rsid w:val="004961A0"/>
    <w:rsid w:val="00603E91"/>
    <w:rsid w:val="006E328A"/>
    <w:rsid w:val="007C48AF"/>
    <w:rsid w:val="008669CC"/>
    <w:rsid w:val="00C05FCD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47268-CA10-4147-A879-8A0CC5CB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9CC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669CC"/>
    <w:pPr>
      <w:numPr>
        <w:numId w:val="1"/>
      </w:numPr>
      <w:spacing w:before="300" w:after="40"/>
      <w:jc w:val="left"/>
      <w:outlineLvl w:val="0"/>
    </w:pPr>
    <w:rPr>
      <w:rFonts w:asciiTheme="minorHAnsi" w:hAnsiTheme="minorHAnsi"/>
      <w:smallCaps/>
      <w:color w:val="44546A" w:themeColor="text2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69CC"/>
    <w:pPr>
      <w:numPr>
        <w:ilvl w:val="1"/>
        <w:numId w:val="1"/>
      </w:numPr>
      <w:jc w:val="left"/>
      <w:outlineLvl w:val="1"/>
    </w:pPr>
    <w:rPr>
      <w:rFonts w:asciiTheme="minorHAnsi" w:hAnsiTheme="minorHAnsi"/>
      <w:smallCaps/>
      <w:color w:val="44546A" w:themeColor="text2"/>
      <w:spacing w:val="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9CC"/>
    <w:rPr>
      <w:rFonts w:eastAsiaTheme="minorEastAsia"/>
      <w:smallCaps/>
      <w:color w:val="44546A" w:themeColor="text2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69CC"/>
    <w:rPr>
      <w:rFonts w:eastAsiaTheme="minorEastAsia"/>
      <w:smallCaps/>
      <w:color w:val="44546A" w:themeColor="text2"/>
      <w:spacing w:val="5"/>
      <w:sz w:val="28"/>
      <w:szCs w:val="28"/>
    </w:rPr>
  </w:style>
  <w:style w:type="paragraph" w:styleId="Cabealho">
    <w:name w:val="header"/>
    <w:basedOn w:val="Normal"/>
    <w:link w:val="CabealhoChar"/>
    <w:rsid w:val="008669C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669CC"/>
    <w:rPr>
      <w:rFonts w:ascii="Verdana" w:eastAsiaTheme="minorEastAsia" w:hAnsi="Verdana"/>
      <w:sz w:val="20"/>
      <w:szCs w:val="20"/>
    </w:rPr>
  </w:style>
  <w:style w:type="paragraph" w:styleId="Rodap">
    <w:name w:val="footer"/>
    <w:basedOn w:val="Normal"/>
    <w:link w:val="RodapChar"/>
    <w:rsid w:val="008669C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669CC"/>
    <w:rPr>
      <w:rFonts w:ascii="Verdana" w:eastAsiaTheme="minorEastAsia" w:hAnsi="Verdana"/>
      <w:sz w:val="20"/>
      <w:szCs w:val="20"/>
    </w:rPr>
  </w:style>
  <w:style w:type="character" w:styleId="Nmerodepgina">
    <w:name w:val="page number"/>
    <w:basedOn w:val="Fontepargpadro"/>
    <w:rsid w:val="008669CC"/>
  </w:style>
  <w:style w:type="paragraph" w:customStyle="1" w:styleId="Advertencia">
    <w:name w:val="Advertencia"/>
    <w:basedOn w:val="Normal"/>
    <w:next w:val="Normal"/>
    <w:rsid w:val="008669CC"/>
    <w:pPr>
      <w:suppressAutoHyphens/>
    </w:pPr>
    <w:rPr>
      <w:rFonts w:ascii="Arial" w:hAnsi="Arial"/>
      <w:i/>
      <w:iCs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2814</Characters>
  <Application>Microsoft Office Word</Application>
  <DocSecurity>0</DocSecurity>
  <Lines>23</Lines>
  <Paragraphs>6</Paragraphs>
  <ScaleCrop>false</ScaleCrop>
  <Company>Banco Itau Unibanco SA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2017-05-09T16:51:00Z</dcterms:created>
  <dcterms:modified xsi:type="dcterms:W3CDTF">2017-05-09T16:52:00Z</dcterms:modified>
</cp:coreProperties>
</file>