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2026-10-02.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Depois de um pré-treino continuado grande e de um ajuste fino com QLoRA, o Manacá-1B escreve uma API FastAPI + SQLAlchemy em português, com a caixa certa e sem nenhum script de conserto depois. Nos 32 pedidos de teste, sobre duas entidades que o modelo nunca viu no treino, 81% das respostas compilam e 72% sobem e passam nas requisições do teste.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</w:tbl>
    <w:p/>
    <w:p>
      <w:pPr>
        <w:spacing w:after="120"/>
      </w:pPr>
      <w:r>
        <w:t xml:space="preserve">A primeira linha ainda tem o melhor runs_rate, mas só chega lá com dois scripts que corrigem a saída. A última é a primeira rodada em que o próprio modelo acerta a caixa e a entidade nova.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p2zdymkczeo0222mjzk35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tn4g3xym8wsg_r0adycd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ywxoe-j_sxab1ggo10si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yyrvmgjizbis0jbiuwd0m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Das 9 falhas da rodada atual, 6 são erro de sintaxe e todas estão em rotas de delete. O modelo escreve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, pulando a assinatura direto para o corpo. Os 438 exemplos de delete do treino têm a mesma assinatura correta, então o erro não vem de dado inconsistente.</w:t>
      </w:r>
    </w:p>
    <w:p>
      <w:pPr>
        <w:spacing w:after="120"/>
      </w:pPr>
      <w:r>
        <w:t xml:space="preserve">No mesmo exemplo, a classe saiu como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treino, com os campos de </w:t>
      </w:r>
      <w:r>
        <w:rPr>
          <w:rFonts w:ascii="Consolas" w:cs="Consolas" w:eastAsia="Consolas" w:hAnsi="Consolas"/>
        </w:rPr>
        <w:t xml:space="preserve">endereco</w:t>
      </w:r>
      <w:r>
        <w:t xml:space="preserve">. O </w:t>
      </w:r>
      <w:r>
        <w:rPr>
          <w:rFonts w:ascii="Consolas" w:cs="Consolas" w:eastAsia="Consolas" w:hAnsi="Consolas"/>
        </w:rPr>
        <w:t xml:space="preserve">comentario</w:t>
      </w:r>
      <w:r>
        <w:t xml:space="preserve"> só aparece no nome da rota e da função. O case_rate não pega isso, porque </w:t>
      </w:r>
      <w:r>
        <w:rPr>
          <w:rFonts w:ascii="Consolas" w:cs="Consolas" w:eastAsia="Consolas" w:hAnsi="Consolas"/>
        </w:rPr>
        <w:t xml:space="preserve">Membro</w:t>
      </w:r>
      <w:r>
        <w:t xml:space="preserve"> tem a caixa certa.</w:t>
      </w:r>
    </w:p>
    <w:p>
      <w:pPr>
        <w:spacing w:after="120"/>
      </w:pPr>
      <w:r>
        <w:t xml:space="preserve">Outras duas falhas usam </w:t>
      </w:r>
      <w:r>
        <w:rPr>
          <w:rFonts w:ascii="Consolas" w:cs="Consolas" w:eastAsia="Consolas" w:hAnsi="Consolas"/>
        </w:rPr>
        <w:t xml:space="preserve">response_model=EnderecoResposta</w:t>
      </w:r>
      <w:r>
        <w:t xml:space="preserve"> numa rota de listar, onde o certo é </w:t>
      </w:r>
      <w:r>
        <w:rPr>
          <w:rFonts w:ascii="Consolas" w:cs="Consolas" w:eastAsia="Consolas" w:hAnsi="Consolas"/>
        </w:rPr>
        <w:t xml:space="preserve">list[EnderecoResposta]</w:t>
      </w:r>
      <w:r>
        <w:t xml:space="preserve">. A última usa um nome de parâmetro na rota e outro no corpo.</w:t>
      </w:r>
    </w:p>
    <w:p>
      <w:pPr>
        <w:spacing w:after="120"/>
      </w:pPr>
      <w:r>
        <w:t xml:space="preserve">A primeira hipótese foi que o SFT tinha decorado demais, já que a loss terminou em 0,034 depois de 3 épocas. O teste foi refazer só o SFT com 1 época sobre o mesmo CPT, e o resultado piorou em tudo: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 (loss final 0,034)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 (loss final 0,074)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</w:tbl>
    <w:p/>
    <w:p>
      <w:pPr>
        <w:spacing w:after="120"/>
      </w:pPr>
      <w:r>
        <w:t xml:space="preserve">Com 1 época o modelo nem aprendeu o formato: a sintaxe quebra em quase todo pedido, não só no delete. O adapter de 3 épocas continua sendo o melhor, e a troca de entidade não vem de excesso de treino.</w:t>
      </w:r>
    </w:p>
    <w:p>
      <w:pPr>
        <w:spacing w:after="120"/>
      </w:pPr>
      <w:r>
        <w:t xml:space="preserve">A hipótese atual está no dataset. Cada entidade de treino aparecia sempre com o mesmo conjunto de campos, então o modelo pode ter aprendido a reconhecer a entidade pelos campos em vez de copiar o nome da instrução. Diante de uma entidade nova, ele recorre a uma de treino. Isso ainda não foi medido. As mudanças para testar:</w:t>
      </w:r>
    </w:p>
    <w:p>
      <w:pPr>
        <w:pStyle w:val="ListParagraph"/>
        <w:numPr>
          <w:ilvl w:val="0"/>
          <w:numId w:val="2"/>
        </w:numPr>
      </w:pPr>
      <w:r>
        <w:t xml:space="preserve">O gerador agora sorteia o conjunto de campos a cada exemplo de treino. A entidade </w:t>
      </w:r>
      <w:r>
        <w:rPr>
          <w:rFonts w:ascii="Consolas" w:cs="Consolas" w:eastAsia="Consolas" w:hAnsi="Consolas"/>
        </w:rPr>
        <w:t xml:space="preserve">usuario</w:t>
      </w:r>
      <w:r>
        <w:t xml:space="preserve">, por exemplo, aparece com os 14 conjuntos. As entidades de teste mantêm os campos fixos e o split de teste continua byte a byte igual ao medido (mesmo sha256), para que os números sigam comparáveis.</w:t>
      </w:r>
    </w:p>
    <w:p>
      <w:pPr>
        <w:pStyle w:val="ListParagraph"/>
        <w:numPr>
          <w:ilvl w:val="0"/>
          <w:numId w:val="2"/>
        </w:numPr>
      </w:pPr>
      <w:r>
        <w:t xml:space="preserve">O eval ganhou </w:t>
      </w:r>
      <w:r>
        <w:rPr>
          <w:rFonts w:ascii="Consolas" w:cs="Consolas" w:eastAsia="Consolas" w:hAnsi="Consolas"/>
        </w:rPr>
        <w:t xml:space="preserve">entidade_rate</w:t>
      </w:r>
      <w:r>
        <w:t xml:space="preserve">: a classe do model SQLAlchemy precisa ser a da referência. Uma saída com </w:t>
      </w:r>
      <w:r>
        <w:rPr>
          <w:rFonts w:ascii="Consolas" w:cs="Consolas" w:eastAsia="Consolas" w:hAnsi="Consolas"/>
        </w:rPr>
        <w:t xml:space="preserve">class Membro(Base)</w:t>
      </w:r>
      <w:r>
        <w:t xml:space="preserve"> num pedido de comentário agora reprova nessa métrica, mesmo compilando e rodando.</w:t>
      </w:r>
    </w:p>
    <w:p>
      <w:pPr>
        <w:spacing w:after="120"/>
      </w:pPr>
      <w:r>
        <w:t xml:space="preserve">O próximo passo é refazer o SFT de 3 épocas com o dataset novo, cerca de 40 minutos, e comparar </w:t>
      </w:r>
      <w:r>
        <w:rPr>
          <w:rFonts w:ascii="Consolas" w:cs="Consolas" w:eastAsia="Consolas" w:hAnsi="Consolas"/>
        </w:rPr>
        <w:t xml:space="preserve">entidade_rate</w:t>
      </w:r>
      <w:r>
        <w:t xml:space="preserve"> com o adapter atual.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 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iij6wv5a22mfnzfdgyo-a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zxrw8posex1swtco7-qxs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jydqoafrd5w8ifspczsux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k3fvuyhtnuoctrj04tfai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bdrzd5kzocbiqnmcssu5z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ch21w3uhnzoyu99lgnbps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x6wkyukmvs33-ksaxxhm6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9_enjj4x1cnl8mtissiyk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2zdymkczeo0222mjzk35" Type="http://schemas.openxmlformats.org/officeDocument/2006/relationships/hyperlink" Target="https://huggingface.co/AIInstituteLNCC/manaca-1b-base" TargetMode="External"/><Relationship Id="rIdetn4g3xym8wsg_r0adycd" Type="http://schemas.openxmlformats.org/officeDocument/2006/relationships/hyperlink" Target="https://github.com/fastapi/fastapi" TargetMode="External"/><Relationship Id="rIdaywxoe-j_sxab1ggo10si" Type="http://schemas.openxmlformats.org/officeDocument/2006/relationships/hyperlink" Target="https://huggingface.co/datasets/codeparrot/github-code-clean" TargetMode="External"/><Relationship Id="rIdyyrvmgjizbis0jbiuwd0m" Type="http://schemas.openxmlformats.org/officeDocument/2006/relationships/hyperlink" Target="https://huggingface.co/datasets/wikimedia/wikipedia" TargetMode="External"/><Relationship Id="rIdiij6wv5a22mfnzfdgyo-a" Type="http://schemas.openxmlformats.org/officeDocument/2006/relationships/hyperlink" Target="https://huggingface.co/AIInstituteLNCC/manaca-1b-base" TargetMode="External"/><Relationship Id="rIdzxrw8posex1swtco7-qxs" Type="http://schemas.openxmlformats.org/officeDocument/2006/relationships/hyperlink" Target="https://huggingface.co/datasets/codeparrot/github-code-clean" TargetMode="External"/><Relationship Id="rIdjydqoafrd5w8ifspczsux" Type="http://schemas.openxmlformats.org/officeDocument/2006/relationships/hyperlink" Target="https://huggingface.co/datasets/wikimedia/wikipedia" TargetMode="External"/><Relationship Id="rIdk3fvuyhtnuoctrj04tfai" Type="http://schemas.openxmlformats.org/officeDocument/2006/relationships/hyperlink" Target="https://github.com/fastapi/fastapi" TargetMode="External"/><Relationship Id="rIdbdrzd5kzocbiqnmcssu5z" Type="http://schemas.openxmlformats.org/officeDocument/2006/relationships/hyperlink" Target="https://arxiv.org/abs/2004.10964" TargetMode="External"/><Relationship Id="rIdch21w3uhnzoyu99lgnbps" Type="http://schemas.openxmlformats.org/officeDocument/2006/relationships/hyperlink" Target="https://arxiv.org/abs/2106.09685" TargetMode="External"/><Relationship Id="rIdx6wkyukmvs33-ksaxxhm6" Type="http://schemas.openxmlformats.org/officeDocument/2006/relationships/hyperlink" Target="https://arxiv.org/abs/2305.14314" TargetMode="External"/><Relationship Id="rId9_enjj4x1cnl8mtissiyk" Type="http://schemas.openxmlformats.org/officeDocument/2006/relationships/hyperlink" Target="https://arxiv.org/abs/1808.06226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2026-10-02T10:12:25.212Z</dcterms:created>
  <dcterms:modified xsi:type="dcterms:W3CDTF">2026-10-02T10:12:25.212Z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