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Estudo</w:t>
      </w:r>
      <w:r>
        <w:t xml:space="preserve"> </w:t>
      </w:r>
      <w:r>
        <w:t xml:space="preserve">Proagro</w:t>
      </w:r>
    </w:p>
    <w:p>
      <w:pPr>
        <w:pStyle w:val="Author"/>
      </w:pPr>
      <w:r>
        <w:t xml:space="preserve">Vitor</w:t>
      </w:r>
      <w:r>
        <w:t xml:space="preserve"> </w:t>
      </w:r>
      <w:r>
        <w:t xml:space="preserve">Villarino</w:t>
      </w:r>
    </w:p>
    <w:p>
      <w:pPr>
        <w:pStyle w:val="Date"/>
      </w:pPr>
      <w:r>
        <w:t xml:space="preserve">03/09/2019</w:t>
      </w:r>
    </w:p>
    <w:p>
      <w:pPr>
        <w:pStyle w:val="Heading1"/>
      </w:pPr>
      <w:bookmarkStart w:id="20" w:name="consideracoes"/>
      <w:r>
        <w:t xml:space="preserve">Considerações</w:t>
      </w:r>
      <w:bookmarkEnd w:id="20"/>
    </w:p>
    <w:p>
      <w:pPr>
        <w:pStyle w:val="Heading2"/>
      </w:pPr>
      <w:bookmarkStart w:id="21" w:name="produto"/>
      <w:r>
        <w:t xml:space="preserve">Produto</w:t>
      </w:r>
      <w:bookmarkEnd w:id="21"/>
    </w:p>
    <w:p>
      <w:pPr>
        <w:pStyle w:val="FirstParagraph"/>
      </w:pPr>
      <w:r>
        <w:t xml:space="preserve">Por enquanto apenas</w:t>
      </w:r>
      <w:r>
        <w:t xml:space="preserve"> </w:t>
      </w:r>
      <w:r>
        <w:rPr>
          <w:b/>
        </w:rPr>
        <w:t xml:space="preserve">SOJA</w:t>
      </w:r>
      <w:r>
        <w:t xml:space="preserve">. No futuro teremos Milho.</w:t>
      </w:r>
    </w:p>
    <w:p>
      <w:pPr>
        <w:pStyle w:val="Heading2"/>
      </w:pPr>
      <w:bookmarkStart w:id="22" w:name="safra"/>
      <w:r>
        <w:t xml:space="preserve">SAFRA</w:t>
      </w:r>
      <w:bookmarkEnd w:id="22"/>
    </w:p>
    <w:p>
      <w:pPr>
        <w:pStyle w:val="FirstParagraph"/>
      </w:pPr>
      <w:r>
        <w:t xml:space="preserve">Ainda há poucos seguros para a safra 2019/2020. Com a nossa regra de 30 seguros por safra (mínimo), vários municípios estavam ficando de fora. Retirei das análises essa safra para não atrapalhar</w:t>
      </w:r>
    </w:p>
    <w:p>
      <w:pPr>
        <w:pStyle w:val="Compact"/>
      </w:pPr>
      <w:r>
        <w:t xml:space="preserve">SAFRA</w:t>
      </w:r>
    </w:p>
    <w:p>
      <w:pPr>
        <w:pStyle w:val="Compact"/>
      </w:pPr>
      <w:r>
        <w:t xml:space="preserve">PROGRAMA</w:t>
      </w:r>
    </w:p>
    <w:p>
      <w:pPr>
        <w:pStyle w:val="Compact"/>
      </w:pPr>
      <w:r>
        <w:t xml:space="preserve">2013/2014</w:t>
      </w:r>
    </w:p>
    <w:p>
      <w:pPr>
        <w:pStyle w:val="Compact"/>
      </w:pPr>
      <w:r>
        <w:t xml:space="preserve">2014/2015</w:t>
      </w:r>
    </w:p>
    <w:p>
      <w:pPr>
        <w:pStyle w:val="Compact"/>
      </w:pPr>
      <w:r>
        <w:t xml:space="preserve">2015/2016</w:t>
      </w:r>
    </w:p>
    <w:p>
      <w:pPr>
        <w:pStyle w:val="Compact"/>
      </w:pPr>
      <w:r>
        <w:t xml:space="preserve">2016/2017</w:t>
      </w:r>
    </w:p>
    <w:p>
      <w:pPr>
        <w:pStyle w:val="Compact"/>
      </w:pPr>
      <w:r>
        <w:t xml:space="preserve">2017/2018</w:t>
      </w:r>
    </w:p>
    <w:p>
      <w:pPr>
        <w:pStyle w:val="Compact"/>
      </w:pPr>
      <w:r>
        <w:t xml:space="preserve">2018/2019</w:t>
      </w:r>
    </w:p>
    <w:p>
      <w:pPr>
        <w:pStyle w:val="Compact"/>
      </w:pPr>
      <w:r>
        <w:t xml:space="preserve">2019/2020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PRONAF</w:t>
      </w:r>
    </w:p>
    <w:p>
      <w:pPr>
        <w:pStyle w:val="Compact"/>
      </w:pPr>
      <w:r>
        <w:t xml:space="preserve">105211.0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16.5%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110330.0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17.3%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110868.0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17.4%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101379.0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15.9%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99977.0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15.7%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88130.0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13.9%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20062.0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3.2%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635957.0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100.0%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PRONAMP</w:t>
      </w:r>
    </w:p>
    <w:p>
      <w:pPr>
        <w:pStyle w:val="Compact"/>
      </w:pPr>
      <w:r>
        <w:t xml:space="preserve">9940.0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19.2%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9181.0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17.7%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7272.0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14.0%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7686.0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14.8%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7782.0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15.0%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8160.0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15.7%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1853.0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3.6%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51874.0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100.0%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SEM PROGRAMA</w:t>
      </w:r>
    </w:p>
    <w:p>
      <w:pPr>
        <w:pStyle w:val="Compact"/>
      </w:pPr>
      <w:r>
        <w:t xml:space="preserve">2563.0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18.1%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2563.0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18.1%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2250.0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15.9%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2710.0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19.1%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2375.0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16.7%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1537.0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10.8%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195.0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1.4%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14193.0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100.0%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117714.0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16.8%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122074.0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17.4%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120390.0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17.1%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111775.0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15.9%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110134.0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15.7%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97827.0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13.9%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22110.0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3.1%</w:t>
      </w:r>
    </w:p>
    <w:p>
      <w:pPr>
        <w:pStyle w:val="Compact"/>
      </w:pPr>
      <w:r>
        <w:t xml:space="preserve">)</w:t>
      </w:r>
    </w:p>
    <w:p>
      <w:pPr>
        <w:pStyle w:val="Compact"/>
      </w:pPr>
      <w:r>
        <w:t xml:space="preserve">702024.0</w:t>
      </w:r>
    </w:p>
    <w:p>
      <w:pPr>
        <w:pStyle w:val="Compact"/>
      </w:pPr>
      <w:r>
        <w:t xml:space="preserve">(</w:t>
      </w:r>
    </w:p>
    <w:p>
      <w:pPr>
        <w:pStyle w:val="Compact"/>
      </w:pPr>
      <w:r>
        <w:t xml:space="preserve">100.0%</w:t>
      </w:r>
    </w:p>
    <w:p>
      <w:pPr>
        <w:pStyle w:val="Compact"/>
      </w:pPr>
      <w:r>
        <w:t xml:space="preserve">)</w:t>
      </w:r>
    </w:p>
    <w:p>
      <w:pPr>
        <w:pStyle w:val="Heading2"/>
      </w:pPr>
      <w:bookmarkStart w:id="23" w:name="programas"/>
      <w:r>
        <w:t xml:space="preserve">Programas</w:t>
      </w:r>
      <w:bookmarkEnd w:id="23"/>
    </w:p>
    <w:p>
      <w:pPr>
        <w:pStyle w:val="FirstParagraph"/>
      </w:pPr>
      <w:r>
        <w:t xml:space="preserve">A distribuição do número de Seguros por Programa mostra que há poucos seguros dos programas PRONAMP e SEM PROGRAMA no Proagro Mais e poucos seguros do PRONAF no PROAGRO TRADICIONAL. Retiraremos estes seguros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.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TP_SEGURO</w:t>
            </w:r>
          </w:p>
        </w:tc>
        <w:tc>
          <w:p>
            <w:pPr>
              <w:pStyle w:val="Compact"/>
              <w:jc w:val="right"/>
            </w:pPr>
            <w:r>
              <w:t xml:space="preserve">PROAGRO MAIS</w:t>
            </w:r>
          </w:p>
        </w:tc>
        <w:tc>
          <w:p>
            <w:pPr>
              <w:pStyle w:val="Compact"/>
              <w:jc w:val="right"/>
            </w:pPr>
            <w:r>
              <w:t xml:space="preserve">PROAGRO TRADICIONAL</w:t>
            </w: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PROGRAMA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PRONAF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615436.0 (99.9%)</w:t>
            </w:r>
          </w:p>
        </w:tc>
        <w:tc>
          <w:p>
            <w:pPr>
              <w:pStyle w:val="Compact"/>
              <w:jc w:val="right"/>
            </w:pPr>
            <w:r>
              <w:t xml:space="preserve">459.0 ( 0.1%)</w:t>
            </w:r>
          </w:p>
        </w:tc>
        <w:tc>
          <w:p>
            <w:pPr>
              <w:pStyle w:val="Compact"/>
              <w:jc w:val="right"/>
            </w:pPr>
            <w:r>
              <w:t xml:space="preserve">615895.0 (100.0%)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PRONAMP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11.0 ( 0.0%)</w:t>
            </w:r>
          </w:p>
        </w:tc>
        <w:tc>
          <w:p>
            <w:pPr>
              <w:pStyle w:val="Compact"/>
              <w:jc w:val="right"/>
            </w:pPr>
            <w:r>
              <w:t xml:space="preserve">50010.0 (100.0%)</w:t>
            </w:r>
          </w:p>
        </w:tc>
        <w:tc>
          <w:p>
            <w:pPr>
              <w:pStyle w:val="Compact"/>
              <w:jc w:val="right"/>
            </w:pPr>
            <w:r>
              <w:t xml:space="preserve">50021.0 (100.0%)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SEM PROGRAMA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7.0 ( 0.1%)</w:t>
            </w:r>
          </w:p>
        </w:tc>
        <w:tc>
          <w:p>
            <w:pPr>
              <w:pStyle w:val="Compact"/>
              <w:jc w:val="right"/>
            </w:pPr>
            <w:r>
              <w:t xml:space="preserve">13991.0 ( 99.9%)</w:t>
            </w:r>
          </w:p>
        </w:tc>
        <w:tc>
          <w:p>
            <w:pPr>
              <w:pStyle w:val="Compact"/>
              <w:jc w:val="right"/>
            </w:pPr>
            <w:r>
              <w:t xml:space="preserve">13998.0 (100.0%)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615454.0 (90.5%)</w:t>
            </w:r>
          </w:p>
        </w:tc>
        <w:tc>
          <w:p>
            <w:pPr>
              <w:pStyle w:val="Compact"/>
              <w:jc w:val="right"/>
            </w:pPr>
            <w:r>
              <w:t xml:space="preserve">64460.0 ( 9.5%)</w:t>
            </w:r>
          </w:p>
        </w:tc>
        <w:tc>
          <w:p>
            <w:pPr>
              <w:pStyle w:val="Compact"/>
              <w:jc w:val="right"/>
            </w:pPr>
            <w:r>
              <w:t xml:space="preserve">679914.0 (100.0%)</w:t>
            </w:r>
          </w:p>
        </w:tc>
      </w:tr>
    </w:tbl>
    <w:p>
      <w:pPr>
        <w:pStyle w:val="Compact"/>
      </w:pPr>
      <w:r>
        <w:t xml:space="preserve">PROAGRO MAIS</w:t>
      </w:r>
    </w:p>
    <w:p>
      <w:pPr>
        <w:pStyle w:val="Compact"/>
      </w:pPr>
      <w:r>
        <w:t xml:space="preserve">PROAGRO TRADICIONAL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PRONAF</w:t>
      </w:r>
    </w:p>
    <w:p>
      <w:pPr>
        <w:pStyle w:val="Compact"/>
      </w:pPr>
      <w:r>
        <w:t xml:space="preserve">615436</w:t>
      </w:r>
    </w:p>
    <w:p>
      <w:pPr>
        <w:pStyle w:val="Compact"/>
      </w:pPr>
      <w:r>
        <w:t xml:space="preserve">459</w:t>
      </w:r>
    </w:p>
    <w:p>
      <w:pPr>
        <w:pStyle w:val="Compact"/>
      </w:pPr>
      <w:r>
        <w:t xml:space="preserve">615895</w:t>
      </w:r>
    </w:p>
    <w:p>
      <w:pPr>
        <w:pStyle w:val="Compact"/>
      </w:pPr>
      <w:r>
        <w:t xml:space="preserve">PRONAMP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50010</w:t>
      </w:r>
    </w:p>
    <w:p>
      <w:pPr>
        <w:pStyle w:val="Compact"/>
      </w:pPr>
      <w:r>
        <w:t xml:space="preserve">50021</w:t>
      </w:r>
    </w:p>
    <w:p>
      <w:pPr>
        <w:pStyle w:val="Compact"/>
      </w:pPr>
      <w:r>
        <w:t xml:space="preserve">SEM PROGRAMA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13991</w:t>
      </w:r>
    </w:p>
    <w:p>
      <w:pPr>
        <w:pStyle w:val="Compact"/>
      </w:pPr>
      <w:r>
        <w:t xml:space="preserve">13998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615454</w:t>
      </w:r>
    </w:p>
    <w:p>
      <w:pPr>
        <w:pStyle w:val="Compact"/>
      </w:pPr>
      <w:r>
        <w:t xml:space="preserve">64460</w:t>
      </w:r>
    </w:p>
    <w:p>
      <w:pPr>
        <w:pStyle w:val="Compact"/>
      </w:pPr>
      <w:r>
        <w:t xml:space="preserve">679914</w:t>
      </w:r>
    </w:p>
    <w:p>
      <w:pPr>
        <w:pStyle w:val="Compact"/>
      </w:pPr>
      <w:r>
        <w:t xml:space="preserve">PROAGRO MAIS</w:t>
      </w:r>
    </w:p>
    <w:p>
      <w:pPr>
        <w:pStyle w:val="Compact"/>
      </w:pPr>
      <w:r>
        <w:t xml:space="preserve">PROAGRO TRADICIONAL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PRONAF</w:t>
      </w:r>
    </w:p>
    <w:p>
      <w:pPr>
        <w:pStyle w:val="Compact"/>
      </w:pPr>
      <w:r>
        <w:t xml:space="preserve">0.9992547</w:t>
      </w:r>
    </w:p>
    <w:p>
      <w:pPr>
        <w:pStyle w:val="Compact"/>
      </w:pPr>
      <w:r>
        <w:t xml:space="preserve">0.0007453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PRONAMP</w:t>
      </w:r>
    </w:p>
    <w:p>
      <w:pPr>
        <w:pStyle w:val="Compact"/>
      </w:pPr>
      <w:r>
        <w:t xml:space="preserve">0.0002199</w:t>
      </w:r>
    </w:p>
    <w:p>
      <w:pPr>
        <w:pStyle w:val="Compact"/>
      </w:pPr>
      <w:r>
        <w:t xml:space="preserve">0.9997801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SEM PROGRAMA</w:t>
      </w:r>
    </w:p>
    <w:p>
      <w:pPr>
        <w:pStyle w:val="Compact"/>
      </w:pPr>
      <w:r>
        <w:t xml:space="preserve">0.0005001</w:t>
      </w:r>
    </w:p>
    <w:p>
      <w:pPr>
        <w:pStyle w:val="Compact"/>
      </w:pPr>
      <w:r>
        <w:t xml:space="preserve">0.9994999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0.9051939</w:t>
      </w:r>
    </w:p>
    <w:p>
      <w:pPr>
        <w:pStyle w:val="Compact"/>
      </w:pPr>
      <w:r>
        <w:t xml:space="preserve">0.0948061</w:t>
      </w:r>
    </w:p>
    <w:p>
      <w:pPr>
        <w:pStyle w:val="Compact"/>
      </w:pPr>
      <w:r>
        <w:t xml:space="preserve">1</w:t>
      </w:r>
    </w:p>
    <w:p>
      <w:pPr>
        <w:numPr>
          <w:numId w:val="1001"/>
          <w:ilvl w:val="0"/>
        </w:numPr>
      </w:pPr>
      <w:r>
        <w:rPr>
          <w:b/>
        </w:rPr>
        <w:t xml:space="preserve">cross_table</w:t>
      </w:r>
      <w:r>
        <w:t xml:space="preserve">:</w:t>
      </w:r>
    </w:p>
    <w:tbl>
      <w:tblPr>
        <w:tblStyle w:val="Table"/>
        <w:tblW w:type="pct" w:w="4513.888888888889"/>
        <w:tblLook w:firstRow="1"/>
      </w:tblPr>
      <w:tblGrid>
        <w:gridCol w:w="2090"/>
        <w:gridCol w:w="1650"/>
        <w:gridCol w:w="24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PROAGRO MAIS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PROAGRO TRADICIONAL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PRONAF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615436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459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615895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PRONAMP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50010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50021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SEM PROGRAMA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13991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13998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615454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64460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679914</w:t>
            </w:r>
          </w:p>
        </w:tc>
      </w:tr>
    </w:tbl>
    <w:p>
      <w:pPr>
        <w:numPr>
          <w:numId w:val="1002"/>
          <w:ilvl w:val="1"/>
        </w:numPr>
      </w:pPr>
      <w:r>
        <w:rPr>
          <w:b/>
        </w:rPr>
        <w:t xml:space="preserve">proportions</w:t>
      </w:r>
      <w:r>
        <w:t xml:space="preserve">:</w:t>
      </w:r>
    </w:p>
    <w:tbl>
      <w:tblPr>
        <w:tblStyle w:val="Table"/>
        <w:tblW w:type="pct" w:w="4444.444444444444"/>
        <w:tblLook w:firstRow="1"/>
      </w:tblPr>
      <w:tblGrid>
        <w:gridCol w:w="2090"/>
        <w:gridCol w:w="1650"/>
        <w:gridCol w:w="242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PROAGRO MAIS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PROAGRO TRADICIONAL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rPr>
                <w:b/>
              </w:rPr>
              <w:t xml:space="preserve">PRONAF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0.9993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0.0007453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rPr>
                <w:b/>
              </w:rPr>
              <w:t xml:space="preserve">PRONAMP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0.0002199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0.9998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rPr>
                <w:b/>
              </w:rPr>
              <w:t xml:space="preserve">SEM PROGRAMA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0.0005001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0.9995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0.9052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0.09481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1"/>
              </w:numPr>
            </w:pPr>
            <w:r>
              <w:t xml:space="preserve">1</w:t>
            </w:r>
          </w:p>
        </w:tc>
      </w:tr>
    </w:tbl>
    <w:p>
      <w:pPr>
        <w:pStyle w:val="Heading2"/>
      </w:pPr>
      <w:bookmarkStart w:id="24" w:name="inflacao"/>
      <w:r>
        <w:t xml:space="preserve">Inflação</w:t>
      </w:r>
      <w:bookmarkEnd w:id="24"/>
    </w:p>
    <w:p>
      <w:pPr>
        <w:pStyle w:val="FirstParagraph"/>
      </w:pPr>
      <w:r>
        <w:t xml:space="preserve">Usei os valores do IPCA acumulado de 12 meses (julho a julho). Peguei do site do IBGE</w:t>
      </w:r>
      <w:r>
        <w:t xml:space="preserve"> </w:t>
      </w:r>
      <w:hyperlink r:id="rId25">
        <w:r>
          <w:rPr>
            <w:rStyle w:val="Hyperlink"/>
          </w:rPr>
          <w:t xml:space="preserve">https://ww2.ibge.gov.br/home/estatistica/indicadores/precos/inpc_ipca/defaultseriesHist.shtm</w:t>
        </w:r>
      </w:hyperlink>
      <w:r>
        <w:t xml:space="preserve"> </w:t>
      </w:r>
      <w:r>
        <w:t xml:space="preserve">e no final obtive os seguintes valores:</w:t>
      </w:r>
    </w:p>
    <w:p>
      <w:pPr>
        <w:pStyle w:val="Compact"/>
      </w:pPr>
      <w:r>
        <w:t xml:space="preserve">jul2014</w:t>
      </w:r>
    </w:p>
    <w:p>
      <w:pPr>
        <w:pStyle w:val="Compact"/>
      </w:pPr>
      <w:r>
        <w:t xml:space="preserve">jul2015</w:t>
      </w:r>
    </w:p>
    <w:p>
      <w:pPr>
        <w:pStyle w:val="Compact"/>
      </w:pPr>
      <w:r>
        <w:t xml:space="preserve">jul2016</w:t>
      </w:r>
    </w:p>
    <w:p>
      <w:pPr>
        <w:pStyle w:val="Compact"/>
      </w:pPr>
      <w:r>
        <w:t xml:space="preserve">jul2017</w:t>
      </w:r>
    </w:p>
    <w:p>
      <w:pPr>
        <w:pStyle w:val="Compact"/>
      </w:pPr>
      <w:r>
        <w:t xml:space="preserve">jul2018</w:t>
      </w:r>
    </w:p>
    <w:p>
      <w:pPr>
        <w:pStyle w:val="Compact"/>
      </w:pPr>
      <w:r>
        <w:t xml:space="preserve">jul2019</w:t>
      </w:r>
    </w:p>
    <w:p>
      <w:pPr>
        <w:pStyle w:val="Compact"/>
      </w:pPr>
      <w:r>
        <w:t xml:space="preserve">6.5</w:t>
      </w:r>
    </w:p>
    <w:p>
      <w:pPr>
        <w:pStyle w:val="Compact"/>
      </w:pPr>
      <w:r>
        <w:t xml:space="preserve">9.56</w:t>
      </w:r>
    </w:p>
    <w:p>
      <w:pPr>
        <w:pStyle w:val="Compact"/>
      </w:pPr>
      <w:r>
        <w:t xml:space="preserve">8.74</w:t>
      </w:r>
    </w:p>
    <w:p>
      <w:pPr>
        <w:pStyle w:val="Compact"/>
      </w:pPr>
      <w:r>
        <w:t xml:space="preserve">2.71</w:t>
      </w:r>
    </w:p>
    <w:p>
      <w:pPr>
        <w:pStyle w:val="Compact"/>
      </w:pPr>
      <w:r>
        <w:t xml:space="preserve">4.48</w:t>
      </w:r>
    </w:p>
    <w:p>
      <w:pPr>
        <w:pStyle w:val="Compact"/>
      </w:pPr>
      <w:r>
        <w:t xml:space="preserve">3.22</w:t>
      </w:r>
    </w:p>
    <w:p>
      <w:pPr>
        <w:pStyle w:val="BodyText"/>
      </w:pPr>
      <w:r>
        <w:t xml:space="preserve">Se compararmos os valores deflacionados antes e depois temos uma boa melhora.</w:t>
      </w:r>
    </w:p>
    <w:p>
      <w:pPr>
        <w:pStyle w:val="Heading3"/>
      </w:pPr>
      <w:bookmarkStart w:id="26" w:name="estatistica-descritiva"/>
      <w:r>
        <w:t xml:space="preserve">Estatística descritiva</w:t>
      </w:r>
      <w:bookmarkEnd w:id="26"/>
    </w:p>
    <w:p>
      <w:pPr>
        <w:pStyle w:val="FirstParagraph"/>
      </w:pPr>
      <w:r>
        <w:rPr>
          <w:b/>
        </w:rPr>
        <w:t xml:space="preserve">VL_TOTAL_Medio_Defl por SAFRA</w:t>
      </w:r>
      <w:r>
        <w:br w:type="textWrapping"/>
      </w:r>
      <w:r>
        <w:rPr>
          <w:b/>
        </w:rPr>
        <w:t xml:space="preserve">Data Frame:</w:t>
      </w:r>
      <w:r>
        <w:t xml:space="preserve"> </w:t>
      </w:r>
      <w:r>
        <w:t xml:space="preserve">Valores_Deflacionados</w:t>
      </w:r>
      <w:r>
        <w:br w:type="textWrapping"/>
      </w:r>
      <w:r>
        <w:rPr>
          <w:b/>
        </w:rPr>
        <w:t xml:space="preserve">N:</w:t>
      </w:r>
      <w:r>
        <w:t xml:space="preserve"> </w:t>
      </w:r>
      <w:r>
        <w:t xml:space="preserve">1392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2013/2014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2014/2015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2015/2016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2016/2017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2017/2018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2018/2019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Média</w:t>
            </w:r>
          </w:p>
        </w:tc>
        <w:tc>
          <w:p>
            <w:pPr>
              <w:pStyle w:val="Compact"/>
              <w:jc w:val="right"/>
            </w:pPr>
            <w:r>
              <w:t xml:space="preserve">55466.00</w:t>
            </w:r>
          </w:p>
        </w:tc>
        <w:tc>
          <w:p>
            <w:pPr>
              <w:pStyle w:val="Compact"/>
              <w:jc w:val="right"/>
            </w:pPr>
            <w:r>
              <w:t xml:space="preserve">55775.88</w:t>
            </w:r>
          </w:p>
        </w:tc>
        <w:tc>
          <w:p>
            <w:pPr>
              <w:pStyle w:val="Compact"/>
              <w:jc w:val="right"/>
            </w:pPr>
            <w:r>
              <w:t xml:space="preserve">55355.68</w:t>
            </w:r>
          </w:p>
        </w:tc>
        <w:tc>
          <w:p>
            <w:pPr>
              <w:pStyle w:val="Compact"/>
              <w:jc w:val="right"/>
            </w:pPr>
            <w:r>
              <w:t xml:space="preserve">58228.76</w:t>
            </w:r>
          </w:p>
        </w:tc>
        <w:tc>
          <w:p>
            <w:pPr>
              <w:pStyle w:val="Compact"/>
              <w:jc w:val="right"/>
            </w:pPr>
            <w:r>
              <w:t xml:space="preserve">58967.07</w:t>
            </w:r>
          </w:p>
        </w:tc>
        <w:tc>
          <w:p>
            <w:pPr>
              <w:pStyle w:val="Compact"/>
              <w:jc w:val="right"/>
            </w:pPr>
            <w:r>
              <w:t xml:space="preserve">59061.61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Desv.padrão</w:t>
            </w:r>
          </w:p>
        </w:tc>
        <w:tc>
          <w:p>
            <w:pPr>
              <w:pStyle w:val="Compact"/>
              <w:jc w:val="right"/>
            </w:pPr>
            <w:r>
              <w:t xml:space="preserve">55812.65</w:t>
            </w:r>
          </w:p>
        </w:tc>
        <w:tc>
          <w:p>
            <w:pPr>
              <w:pStyle w:val="Compact"/>
              <w:jc w:val="right"/>
            </w:pPr>
            <w:r>
              <w:t xml:space="preserve">52268.50</w:t>
            </w:r>
          </w:p>
        </w:tc>
        <w:tc>
          <w:p>
            <w:pPr>
              <w:pStyle w:val="Compact"/>
              <w:jc w:val="right"/>
            </w:pPr>
            <w:r>
              <w:t xml:space="preserve">45166.58</w:t>
            </w:r>
          </w:p>
        </w:tc>
        <w:tc>
          <w:p>
            <w:pPr>
              <w:pStyle w:val="Compact"/>
              <w:jc w:val="right"/>
            </w:pPr>
            <w:r>
              <w:t xml:space="preserve">42700.52</w:t>
            </w:r>
          </w:p>
        </w:tc>
        <w:tc>
          <w:p>
            <w:pPr>
              <w:pStyle w:val="Compact"/>
              <w:jc w:val="right"/>
            </w:pPr>
            <w:r>
              <w:t xml:space="preserve">43100.82</w:t>
            </w:r>
          </w:p>
        </w:tc>
        <w:tc>
          <w:p>
            <w:pPr>
              <w:pStyle w:val="Compact"/>
              <w:jc w:val="right"/>
            </w:pPr>
            <w:r>
              <w:t xml:space="preserve">41711.07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Mín</w:t>
            </w:r>
          </w:p>
        </w:tc>
        <w:tc>
          <w:p>
            <w:pPr>
              <w:pStyle w:val="Compact"/>
              <w:jc w:val="right"/>
            </w:pPr>
            <w:r>
              <w:t xml:space="preserve">2453.88</w:t>
            </w:r>
          </w:p>
        </w:tc>
        <w:tc>
          <w:p>
            <w:pPr>
              <w:pStyle w:val="Compact"/>
              <w:jc w:val="right"/>
            </w:pPr>
            <w:r>
              <w:t xml:space="preserve">5155.54</w:t>
            </w:r>
          </w:p>
        </w:tc>
        <w:tc>
          <w:p>
            <w:pPr>
              <w:pStyle w:val="Compact"/>
              <w:jc w:val="right"/>
            </w:pPr>
            <w:r>
              <w:t xml:space="preserve">101.50</w:t>
            </w:r>
          </w:p>
        </w:tc>
        <w:tc>
          <w:p>
            <w:pPr>
              <w:pStyle w:val="Compact"/>
              <w:jc w:val="right"/>
            </w:pPr>
            <w:r>
              <w:t xml:space="preserve">3165.21</w:t>
            </w:r>
          </w:p>
        </w:tc>
        <w:tc>
          <w:p>
            <w:pPr>
              <w:pStyle w:val="Compact"/>
              <w:jc w:val="right"/>
            </w:pPr>
            <w:r>
              <w:t xml:space="preserve">4861.96</w:t>
            </w:r>
          </w:p>
        </w:tc>
        <w:tc>
          <w:p>
            <w:pPr>
              <w:pStyle w:val="Compact"/>
              <w:jc w:val="right"/>
            </w:pPr>
            <w:r>
              <w:t xml:space="preserve">5140.42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Med</w:t>
            </w:r>
          </w:p>
        </w:tc>
        <w:tc>
          <w:p>
            <w:pPr>
              <w:pStyle w:val="Compact"/>
              <w:jc w:val="right"/>
            </w:pPr>
            <w:r>
              <w:t xml:space="preserve">34182.07</w:t>
            </w:r>
          </w:p>
        </w:tc>
        <w:tc>
          <w:p>
            <w:pPr>
              <w:pStyle w:val="Compact"/>
              <w:jc w:val="right"/>
            </w:pPr>
            <w:r>
              <w:t xml:space="preserve">35900.00</w:t>
            </w:r>
          </w:p>
        </w:tc>
        <w:tc>
          <w:p>
            <w:pPr>
              <w:pStyle w:val="Compact"/>
              <w:jc w:val="right"/>
            </w:pPr>
            <w:r>
              <w:t xml:space="preserve">40609.95</w:t>
            </w:r>
          </w:p>
        </w:tc>
        <w:tc>
          <w:p>
            <w:pPr>
              <w:pStyle w:val="Compact"/>
              <w:jc w:val="right"/>
            </w:pPr>
            <w:r>
              <w:t xml:space="preserve">43628.17</w:t>
            </w:r>
          </w:p>
        </w:tc>
        <w:tc>
          <w:p>
            <w:pPr>
              <w:pStyle w:val="Compact"/>
              <w:jc w:val="right"/>
            </w:pPr>
            <w:r>
              <w:t xml:space="preserve">44042.64</w:t>
            </w:r>
          </w:p>
        </w:tc>
        <w:tc>
          <w:p>
            <w:pPr>
              <w:pStyle w:val="Compact"/>
              <w:jc w:val="right"/>
            </w:pPr>
            <w:r>
              <w:t xml:space="preserve">44298.96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Máx</w:t>
            </w:r>
          </w:p>
        </w:tc>
        <w:tc>
          <w:p>
            <w:pPr>
              <w:pStyle w:val="Compact"/>
              <w:jc w:val="right"/>
            </w:pPr>
            <w:r>
              <w:t xml:space="preserve">300000.00</w:t>
            </w:r>
          </w:p>
        </w:tc>
        <w:tc>
          <w:p>
            <w:pPr>
              <w:pStyle w:val="Compact"/>
              <w:jc w:val="right"/>
            </w:pPr>
            <w:r>
              <w:t xml:space="preserve">281690.14</w:t>
            </w:r>
          </w:p>
        </w:tc>
        <w:tc>
          <w:p>
            <w:pPr>
              <w:pStyle w:val="Compact"/>
              <w:jc w:val="right"/>
            </w:pPr>
            <w:r>
              <w:t xml:space="preserve">257110.39</w:t>
            </w:r>
          </w:p>
        </w:tc>
        <w:tc>
          <w:p>
            <w:pPr>
              <w:pStyle w:val="Compact"/>
              <w:jc w:val="right"/>
            </w:pPr>
            <w:r>
              <w:t xml:space="preserve">236445.09</w:t>
            </w:r>
          </w:p>
        </w:tc>
        <w:tc>
          <w:p>
            <w:pPr>
              <w:pStyle w:val="Compact"/>
              <w:jc w:val="right"/>
            </w:pPr>
            <w:r>
              <w:t xml:space="preserve">230206.49</w:t>
            </w:r>
          </w:p>
        </w:tc>
        <w:tc>
          <w:p>
            <w:pPr>
              <w:pStyle w:val="Compact"/>
              <w:jc w:val="right"/>
            </w:pPr>
            <w:r>
              <w:t xml:space="preserve">220335.46</w:t>
            </w:r>
          </w:p>
        </w:tc>
      </w:tr>
    </w:tbl>
    <w:p>
      <w:pPr>
        <w:pStyle w:val="Heading1"/>
      </w:pPr>
      <w:bookmarkStart w:id="27" w:name="alteracoes"/>
      <w:r>
        <w:t xml:space="preserve">Alterações</w:t>
      </w:r>
      <w:bookmarkEnd w:id="27"/>
    </w:p>
    <w:p>
      <w:pPr>
        <w:pStyle w:val="Heading2"/>
      </w:pPr>
      <w:bookmarkStart w:id="28" w:name="safra-1"/>
      <w:r>
        <w:t xml:space="preserve">SAFRA</w:t>
      </w:r>
      <w:bookmarkEnd w:id="28"/>
    </w:p>
    <w:p>
      <w:pPr>
        <w:pStyle w:val="FirstParagraph"/>
      </w:pPr>
      <w:r>
        <w:t xml:space="preserve">Dos 1836 municípios que fizeram alguma operação em alguma safra, sobraram 557 que fizeram pelo menos 30 seguros em todas as safras. A distribuição por estados é</w:t>
      </w:r>
    </w:p>
    <w:p>
      <w:pPr>
        <w:pStyle w:val="Heading2"/>
      </w:pPr>
      <w:bookmarkStart w:id="29" w:name="including-plots"/>
      <w:r>
        <w:t xml:space="preserve">Including Plots</w:t>
      </w:r>
      <w:bookmarkEnd w:id="29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udo_PSR_Proagrm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5" Target="https://ww2.ibge.gov.br/home/estatistica/indicadores/precos/inpc_ipca/defaultseriesHist.s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2.ibge.gov.br/home/estatistica/indicadores/precos/inpc_ipca/defaultseriesHist.s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Proagro</dc:title>
  <dc:creator>Vitor Villarino</dc:creator>
  <cp:keywords/>
  <dcterms:created xsi:type="dcterms:W3CDTF">2019-09-06T03:00:06Z</dcterms:created>
  <dcterms:modified xsi:type="dcterms:W3CDTF">2019-09-06T03:00:06Z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03/09/2019</vt:lpwstr>
  </property>
  <property fmtid="{D5CDD505-2E9C-101B-9397-08002B2CF9AE}" pid="3" name="output">
    <vt:lpwstr/>
  </property>
</Properties>
</file>