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Livraria;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Livraria;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Autor(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idAutor int primary key auto_increment,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Nome VarChar(30),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Nascimento Date,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Peso double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removeAutor(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idAutor int primary key auto_increment,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Nome VarChar(30),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Nascimento Date,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Peso double,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fkAutor int,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foreign key (fkAutor)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references Autor(idAutor)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ADM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idADM int primary key auto_increment,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RazaoSocial VarChar(30),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DataCriacao Date,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Saldo double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removeADM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idADM int primary key auto_increment,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RazaoSocial VarChar(30),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DataCriacao Date,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Saldo double,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fkADM int,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foreign key (fkADM)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references ADM (idADM)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Compra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idCompra int primary key auto_increment,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Titulo VarChar(30),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ValorCompra double,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DataCompra Date,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fkADM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fkAutor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foreign key (fkADM)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references ADM (idADM),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foreign key (fkAutor)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references Autor (idAutor)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Livro(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idLivro int primary key auto_increment,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Titulo VarChar(30),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ValorCompra double,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DataLancamento date,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fkADM int,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fkAutor int,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foreign key(fkADM)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references ADM (idADM),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foreign key(fkAutor)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references Autor (idAutor)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Venda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idVenda int primary key auto_increment,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Titulo VarChar(30),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ValorVenda double,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DataVenda date,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fkADM int,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fkAutor int,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fkLivro int,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foreign key(fkADM)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references ADM (idADM),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foreign key(fkAutor)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references Autor(idAutor)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Autor values (null, "Vitor W.", '2006-07-16', 100.00);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ADM values (null, "livraria", '2000-1-1', 10000.00);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/*insert into Compra values (null, "Narnia", 20.00, '1-1-2000', 1, 1);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Venda values (null, "Narnia", 20.00, '1-1-2000', 1, 1, 1);*/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trigger Comprar after insert on Compra for each row begin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declare Valor float;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set Valor := new.ValorCompra;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update ADM set ADM.Saldo = ADM.Saldo - Valor where ADM.idADM = new.fkADM;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Livro values (null, new.Titulo, new.ValorCompra, new.DataCompra, new.fkADM, new.fkAutor);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trigger Vender after insert on Venda for each row begin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declare Valor float;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set Valor :=  new.ValorVenda;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update ADM set ADM.Saldo = ADM.Saldo + Valor where ADM.idADM = new.fkADM;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delete from Livro where idLivro = new.fkLivro;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trigger insertAutor after insert on Autor for each row begin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Autor values (null, new.Nome, new.Nascimento, new.Peso);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trigger insertADM after insert on ADM for each row begin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ADM values (null, new.RazaoSocial, new.DataCriacao, new.Saldo);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trigger removeAutor after insert on removeAutor for each row begin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delete from Autor where idAutor = new.fkAutor;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trigger removeADM after insert on removeADM for each row begin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delete from ADM where idADM = new.fkADM;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/*select * from Livro;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* from Venda;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* from Compra;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* from ADM;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* from Autor;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drop database Livraria;*/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