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Biblioteca;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Biblioteca;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Livros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idLivros int primary key auto_increment,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Nome Varchar(30),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datadelancamento 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valor float,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FKautores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foreign key(Fkautores)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references Autores(idautor)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Autores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idautor int primary key auto_increment,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nomeautor Varchar(30),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datadenascimento 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Livros values (null, "O pequeno principe",'2000-12-11', 99.99,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Livros values (null, "Narnia", '1969-09-06', 01.00, 2);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Livros values (null, "Harry potter", '1111-01-11', 10.00, 3);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Livros values (null, "Diário de um banana", '1742-08-24', 50.00, 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Livros values (null, "Turma da monica jovem", '1347-03-17', 100.00, 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Livros values (null, "Game of thrones", '1999-12-31', 05.00, 6);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Autores values(null, "autor foda 1", '2024-02-26');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Autores values(null, "autor foda dos games", '1999-07-12');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Autores values(null, "autor pelé branco", '2001-01-01');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Autores values(null, "autor mt mt foda", '1500-03-04');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Autores values(null, "autor autor", '1830-11-06');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Autores values(null, "autor da Silva", '2006-06-07');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Livros;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* from Autores;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database Biblioteca;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