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18" w:space="8"/>
        </w:pBdr>
        <w:spacing w:after="0" w:before="2400"/>
      </w:pPr>
      <w:r>
        <w:rPr>
          <w:b/>
          <w:bCs/>
          <w:color w:val="0B2E59"/>
          <w:sz w:val="56"/>
          <w:szCs w:val="56"/>
        </w:rPr>
        <w:t xml:space="preserve">Avaliação Final</w:t>
      </w:r>
    </w:p>
    <w:p>
      <w:pPr>
        <w:spacing w:after="120" w:before="200"/>
      </w:pPr>
      <w:r>
        <w:rPr>
          <w:color w:val="0B2E59"/>
          <w:sz w:val="36"/>
          <w:szCs w:val="36"/>
        </w:rPr>
        <w:t xml:space="preserve">Big Data para Negócios</w:t>
      </w:r>
    </w:p>
    <w:p>
      <w:pPr>
        <w:spacing w:after="1400" w:before="0"/>
      </w:pPr>
      <w:r>
        <w:rPr>
          <w:color w:val="5B6776"/>
          <w:sz w:val="26"/>
          <w:szCs w:val="26"/>
        </w:rPr>
        <w:t xml:space="preserve">TechPay: arquitetura, pipeline, análise e painel de risco de fraude</w:t>
      </w:r>
    </w:p>
    <w:p>
      <w:pPr>
        <w:spacing w:after="60" w:before="60"/>
      </w:pPr>
      <w:r>
        <w:rPr>
          <w:b/>
          <w:bCs/>
          <w:color w:val="0B2E59"/>
        </w:rPr>
        <w:t xml:space="preserve">Aluno: </w:t>
      </w:r>
      <w:r>
        <w:t xml:space="preserve">Vitor Dantas</w:t>
      </w:r>
    </w:p>
    <w:p>
      <w:pPr>
        <w:spacing w:after="60" w:before="60"/>
      </w:pPr>
      <w:r>
        <w:rPr>
          <w:b/>
          <w:bCs/>
          <w:color w:val="0B2E59"/>
        </w:rPr>
        <w:t xml:space="preserve">Curso: </w:t>
      </w:r>
      <w:r>
        <w:t xml:space="preserve">Big Data para Negócios — UFC / MPCE</w:t>
      </w:r>
    </w:p>
    <w:p>
      <w:pPr>
        <w:spacing w:after="60" w:before="60"/>
      </w:pPr>
      <w:r>
        <w:rPr>
          <w:b/>
          <w:bCs/>
          <w:color w:val="0B2E59"/>
        </w:rPr>
        <w:t xml:space="preserve">Professor responsável: </w:t>
      </w:r>
      <w:r>
        <w:t xml:space="preserve">Luiz Alexandre Moreira Barros</w:t>
      </w:r>
    </w:p>
    <w:p>
      <w:pPr>
        <w:spacing w:after="60" w:before="60"/>
      </w:pPr>
      <w:r>
        <w:rPr>
          <w:b/>
          <w:bCs/>
          <w:color w:val="0B2E59"/>
        </w:rPr>
        <w:t xml:space="preserve">Formato: </w:t>
      </w:r>
      <w:r>
        <w:t xml:space="preserve">Individual — relatório, repositório de código e dashboard</w:t>
      </w:r>
    </w:p>
    <w:p>
      <w:pPr>
        <w:spacing w:after="60" w:before="60"/>
      </w:pPr>
      <w:r>
        <w:rPr>
          <w:b/>
          <w:bCs/>
          <w:color w:val="0B2E59"/>
        </w:rPr>
        <w:t xml:space="preserve">Ambiente: </w:t>
      </w:r>
      <w:r>
        <w:t xml:space="preserve">Rota sem admin (DuckDB, PySpark local e Plotly, em WSL2/Ubuntu)</w:t>
      </w:r>
    </w:p>
    <w:p>
      <w:pPr>
        <w:spacing w:after="60" w:before="60"/>
      </w:pPr>
      <w:r>
        <w:rPr>
          <w:b/>
          <w:bCs/>
          <w:color w:val="0B2E59"/>
        </w:rPr>
        <w:t xml:space="preserve">Data de entrega: </w:t>
      </w:r>
      <w:r>
        <w:t xml:space="preserve">____/____/________</w:t>
      </w:r>
    </w:p>
    <w:p>
      <w:pPr>
        <w:spacing w:after="60" w:before="60"/>
      </w:pPr>
      <w:r>
        <w:rPr>
          <w:b/>
          <w:bCs/>
          <w:color w:val="0B2E59"/>
        </w:rPr>
        <w:t xml:space="preserve">Link do repositório: </w:t>
      </w:r>
      <w:r>
        <w:t xml:space="preserve">______________________________________________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300" w:before="0"/>
      </w:pPr>
      <w:r>
        <w:rPr>
          <w:b/>
          <w:bCs/>
          <w:color w:val="0B2E59"/>
          <w:sz w:val="36"/>
          <w:szCs w:val="36"/>
        </w:rPr>
        <w:t xml:space="preserve">Sumário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b/>
          <w:bCs/>
          <w:sz w:val="22"/>
          <w:szCs w:val="22"/>
        </w:rPr>
        <w:t xml:space="preserve">Apresentação do trabalho</w:t>
      </w:r>
      <w:r>
        <w:t xml:space="preserve">	3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b/>
          <w:bCs/>
          <w:sz w:val="22"/>
          <w:szCs w:val="22"/>
        </w:rPr>
        <w:t xml:space="preserve">Etapa 1 — Arquitetura de Big Data</w:t>
      </w:r>
      <w:r>
        <w:t xml:space="preserve">	4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b/>
          <w:bCs/>
          <w:sz w:val="22"/>
          <w:szCs w:val="22"/>
        </w:rPr>
        <w:t xml:space="preserve">Etapa 2 — Execução do pipeline</w:t>
      </w:r>
      <w:r>
        <w:t xml:space="preserve">	7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b/>
          <w:bCs/>
          <w:sz w:val="22"/>
          <w:szCs w:val="22"/>
        </w:rPr>
        <w:t xml:space="preserve">Etapa 3 — Análise e Dashboard</w:t>
      </w:r>
      <w:r>
        <w:t xml:space="preserve">	11</w:t>
      </w:r>
    </w:p>
    <w:p>
      <w:pPr>
        <w:tabs>
          <w:tab w:val="right" w:pos="9026" w:leader="dot"/>
        </w:tabs>
        <w:spacing w:after="80" w:before="80"/>
        <w:ind w:left="440"/>
      </w:pPr>
      <w:r>
        <w:rPr>
          <w:b w:val="false"/>
          <w:bCs w:val="false"/>
          <w:sz w:val="21"/>
          <w:szCs w:val="21"/>
        </w:rPr>
        <w:t xml:space="preserve">Relatório de achados</w:t>
      </w:r>
      <w:r>
        <w:t xml:space="preserve">	11</w:t>
      </w:r>
    </w:p>
    <w:p>
      <w:pPr>
        <w:tabs>
          <w:tab w:val="right" w:pos="9026" w:leader="dot"/>
        </w:tabs>
        <w:spacing w:after="80" w:before="80"/>
        <w:ind w:left="440"/>
      </w:pPr>
      <w:r>
        <w:rPr>
          <w:b w:val="false"/>
          <w:bCs w:val="false"/>
          <w:sz w:val="21"/>
          <w:szCs w:val="21"/>
        </w:rPr>
        <w:t xml:space="preserve">O dashboard</w:t>
      </w:r>
      <w:r>
        <w:t xml:space="preserve">	15</w:t>
      </w:r>
    </w:p>
    <w:p>
      <w:pPr>
        <w:tabs>
          <w:tab w:val="right" w:pos="9026" w:leader="dot"/>
        </w:tabs>
        <w:spacing w:after="80" w:before="80"/>
        <w:ind w:left="440"/>
      </w:pPr>
      <w:r>
        <w:rPr>
          <w:b w:val="false"/>
          <w:bCs w:val="false"/>
          <w:sz w:val="21"/>
          <w:szCs w:val="21"/>
        </w:rPr>
        <w:t xml:space="preserve">Ideia do BI</w:t>
      </w:r>
      <w:r>
        <w:t xml:space="preserve">	17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b/>
          <w:bCs/>
          <w:sz w:val="22"/>
          <w:szCs w:val="22"/>
        </w:rPr>
        <w:t xml:space="preserve">Bônus — Modelo preditivo de fraude</w:t>
      </w:r>
      <w:r>
        <w:t xml:space="preserve">	19</w:t>
      </w:r>
    </w:p>
    <w:p>
      <w:pPr>
        <w:tabs>
          <w:tab w:val="right" w:pos="9026" w:leader="dot"/>
        </w:tabs>
        <w:spacing w:after="80" w:before="80"/>
        <w:ind w:left="0"/>
      </w:pPr>
      <w:r>
        <w:rPr>
          <w:b/>
          <w:bCs/>
          <w:sz w:val="22"/>
          <w:szCs w:val="22"/>
        </w:rPr>
        <w:t xml:space="preserve">Anexo — Estrutura do repositório e reprodução</w:t>
      </w:r>
      <w:r>
        <w:t xml:space="preserve">	22</w:t>
      </w:r>
    </w:p>
    <w:p>
      <w:r>
        <w:br w:type="page"/>
      </w:r>
    </w:p>
    <w:p>
      <w:pPr>
        <w:pStyle w:val="Heading1"/>
      </w:pPr>
      <w:r>
        <w:t xml:space="preserve">Apresentação do trabalho</w:t>
      </w:r>
    </w:p>
    <w:p>
      <w:pPr>
        <w:spacing w:after="100" w:before="60"/>
      </w:pPr>
      <w:r>
        <w:t xml:space="preserve">Este relatório reúne as três etapas da Atividade Final e o bônus de modelo preditivo, aplicados ao cenário da fintech fictícia </w:t>
      </w:r>
      <w:r>
        <w:rPr>
          <w:b/>
          <w:bCs/>
        </w:rPr>
        <w:t xml:space="preserve">TechPay</w:t>
      </w:r>
      <w:r>
        <w:t xml:space="preserve">, sobre a base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avaliacao_transactions.csv</w:t>
      </w:r>
      <w:r>
        <w:t xml:space="preserve"> (30.000 transações de 2025, gerada pelo script do professor com semente fixa). Conforme a regra da avaliação, o texto explica em prosa o que foi feito e por quê; o código está no repositório Git, na pasta de cada etapa.</w:t>
      </w:r>
    </w:p>
    <w:p>
      <w:pPr>
        <w:pStyle w:val="Heading2"/>
      </w:pPr>
      <w:r>
        <w:t xml:space="preserve">Ambiente utilizado</w:t>
      </w:r>
    </w:p>
    <w:p>
      <w:pPr>
        <w:spacing w:after="100" w:before="60"/>
      </w:pPr>
      <w:r>
        <w:t xml:space="preserve">Foi adotada a </w:t>
      </w:r>
      <w:r>
        <w:rPr>
          <w:b/>
          <w:bCs/>
        </w:rPr>
        <w:t xml:space="preserve">rota sem admin</w:t>
      </w:r>
      <w:r>
        <w:t xml:space="preserve"> em todo o trabalho, a mesma usada nos Labs 1 a 12: WSL2 com Ubuntu no Windows, sem cluster Hadoop administrado. O armazenamento é feito em pastas locais com Parquet particionado por ano e mês, a transformação em DuckDB (no lugar do Hive), a exploração e o modelo em PySpark local, e o painel em Plotly, gerado como um arquivo HTML que abre sem servidor (no lugar do Metabase, que exige Docker com privilégio de administrador). A lógica de cada camada é a mesma que seria executada no cluster.</w:t>
      </w:r>
    </w:p>
    <w:p>
      <w:pPr>
        <w:pStyle w:val="Heading2"/>
      </w:pPr>
      <w:r>
        <w:t xml:space="preserve">Como ler este relatório</w:t>
      </w:r>
    </w:p>
    <w:p>
      <w:pPr>
        <w:spacing w:after="100" w:before="60"/>
      </w:pPr>
      <w:r>
        <w:t xml:space="preserve">Cada etapa segue a ordem do enunciado. Os números citados vêm dos logs e tabelas gravados pelos próprios scripts, e o dashboard lê as mesmas tabelas Gold usadas nas análises, por isso os valores coincidem em todo o documento. A execução completa pode ser reproduzida com um único comando, descrito no anexo.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838"/>
        <w:gridCol w:w="3457"/>
        <w:gridCol w:w="3667"/>
      </w:tblGrid>
      <w:tr>
        <w:trPr>
          <w:cantSplit/>
          <w:tblHeader/>
        </w:trPr>
        <w:tc>
          <w:tcPr>
            <w:tcW w:type="dxa" w:w="167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4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36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está no repositório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 · Arquitetura</w:t>
            </w:r>
          </w:p>
        </w:tc>
        <w:tc>
          <w:tcPr>
            <w:tcW w:type="dxa" w:w="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15%</w:t>
            </w:r>
          </w:p>
        </w:tc>
        <w:tc>
          <w:tcPr>
            <w:tcW w:type="dxa" w:w="34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Diagrama e justificativa</w:t>
            </w:r>
          </w:p>
        </w:tc>
        <w:tc>
          <w:tcPr>
            <w:tcW w:type="dxa" w:w="36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avaliacao_final/etapa1_arquitetura/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 · Pipeline</w:t>
            </w:r>
          </w:p>
        </w:tc>
        <w:tc>
          <w:tcPr>
            <w:tcW w:type="dxa" w:w="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30%</w:t>
            </w:r>
          </w:p>
        </w:tc>
        <w:tc>
          <w:tcPr>
            <w:tcW w:type="dxa" w:w="34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 e explicação das 6 etapas</w:t>
            </w:r>
          </w:p>
        </w:tc>
        <w:tc>
          <w:tcPr>
            <w:tcW w:type="dxa" w:w="36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avaliacao_final/etapa2_bigdata/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 · Análise e BI</w:t>
            </w:r>
          </w:p>
        </w:tc>
        <w:tc>
          <w:tcPr>
            <w:tcW w:type="dxa" w:w="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25%</w:t>
            </w:r>
          </w:p>
        </w:tc>
        <w:tc>
          <w:tcPr>
            <w:tcW w:type="dxa" w:w="34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Análises, dashboard e ideia do BI</w:t>
            </w:r>
          </w:p>
        </w:tc>
        <w:tc>
          <w:tcPr>
            <w:tcW w:type="dxa" w:w="36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avaliacao_final/etapa3_analise/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Bônus</w:t>
            </w:r>
          </w:p>
        </w:tc>
        <w:tc>
          <w:tcPr>
            <w:tcW w:type="dxa" w:w="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extra</w:t>
            </w:r>
          </w:p>
        </w:tc>
        <w:tc>
          <w:tcPr>
            <w:tcW w:type="dxa" w:w="34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Regressão logística interpretada</w:t>
            </w:r>
          </w:p>
        </w:tc>
        <w:tc>
          <w:tcPr>
            <w:tcW w:type="dxa" w:w="366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avaliacao_final/etapa4_ml/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Etapa 1 — Arquitetura de Big Data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8820150" cy="5191125"/>
            <wp:effectExtent t="0" r="0" b="0" l="0"/>
            <wp:docPr id="1" name="diagrama.png" descr="Figura 1 — Arquitetura de dados da TechPay: fluxo da origem à decisão, com ferramenta e formato por camada e o caminho adicional para tempo real" title="Figura 1 — Arquitetura de dados da TechPay: fluxo da origem à decisão, com ferramenta e formato por camada e o caminho adicional para tempo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776"/>
          <w:sz w:val="18"/>
          <w:szCs w:val="18"/>
        </w:rPr>
        <w:t xml:space="preserve">Figura 1 — Arquitetura de dados da TechPay: fluxo da origem à decisão, com ferramenta e formato por camada e o caminho adicional para tempo real</w:t>
      </w:r>
    </w:p>
    <w:p>
      <w:pPr>
        <w:sectPr>
          <w:headerReference w:type="default" r:id="rId9"/>
          <w:footerReference w:type="default" r:id="rId10"/>
          <w:type w:val="nextPage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 w:val="false"/>
        <w:spacing w:after="100" w:before="60"/>
      </w:pPr>
      <w:r>
        <w:rPr>
          <w:b/>
          <w:bCs/>
        </w:rPr>
        <w:t xml:space="preserve">Diagrama:</w:t>
      </w:r>
      <w:r>
        <w:t xml:space="preserve">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diagrama.png</w:t>
      </w:r>
      <w:r>
        <w:t xml:space="preserve"> (fonte editável em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diagrama.svg</w:t>
      </w:r>
      <w:r>
        <w:t xml:space="preserve">). Cada caixa indica a ferramenta de cluster (Rota A) e a equivalente usada na execução (Rota B: DuckDB, PySpark local e Plotly, no WSL2/Ubuntu, a mesma rota dos Labs 1 a 12).</w:t>
      </w:r>
    </w:p>
    <w:p>
      <w:pPr>
        <w:pStyle w:val="Heading2"/>
      </w:pPr>
      <w:r>
        <w:t xml:space="preserve">Fluxo e formatos</w:t>
      </w:r>
    </w:p>
    <w:p>
      <w:pPr>
        <w:keepNext w:val="false"/>
        <w:spacing w:after="100" w:before="60"/>
      </w:pPr>
      <w:r>
        <w:t xml:space="preserve">As transações nascem nos canais da TechPay (app, web, POS, ATM) e são gravadas no banco transacional, que também guarda segmento e credit score do cliente. O rótulo de fraude chega depois, quando o time de risco conclui a análise, por isso o desenho o trata como atualização tardia.</w:t>
      </w:r>
    </w:p>
    <w:p>
      <w:pPr>
        <w:keepNext w:val="false"/>
        <w:spacing w:after="100" w:before="60"/>
      </w:pPr>
      <w:r>
        <w:t xml:space="preserve">Uma vez por dia, a ingestão copia as transações do dia anterior para a camada </w:t>
      </w:r>
      <w:r>
        <w:rPr>
          <w:b/>
          <w:bCs/>
        </w:rPr>
        <w:t xml:space="preserve">raw</w:t>
      </w:r>
      <w:r>
        <w:t xml:space="preserve">, em </w:t>
      </w:r>
      <w:r>
        <w:rPr>
          <w:b/>
          <w:bCs/>
        </w:rPr>
        <w:t xml:space="preserve">CSV</w:t>
      </w:r>
      <w:r>
        <w:t xml:space="preserve">, exatamente como chegaram. Isso permite reprocessar tudo se uma regra de limpeza estiver errada. A partir daí, tudo é </w:t>
      </w:r>
      <w:r>
        <w:rPr>
          <w:b/>
          <w:bCs/>
        </w:rPr>
        <w:t xml:space="preserve">Parquet</w:t>
      </w:r>
      <w:r>
        <w:t xml:space="preserve">: o formato é colunar, comprimido (2.678 KB viraram 743 KB) e guarda o tipo de cada coluna, evitando o problema dos Labs 2, 4 e 5 em que o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is_fraud</w:t>
      </w:r>
      <w:r>
        <w:t xml:space="preserve"> em texto era convertido errado.</w:t>
      </w:r>
    </w:p>
    <w:p>
      <w:pPr>
        <w:keepNext w:val="false"/>
        <w:spacing w:after="100" w:before="60"/>
      </w:pPr>
      <w:r>
        <w:t xml:space="preserve">A cadeia Medallion é: raw particionada (schema explícito) → Bronze (limpeza e quarentena) → Silver (colunas de análise) → Gold (4 tabelas de contagens, sem partição, porque a maior tem 3.235 linhas). Só a Gold vai para o BI; o Spark lê a Silver para exploração e para o modelo. O dashboard alimenta o comitê semanal de risco.</w:t>
      </w:r>
    </w:p>
    <w:p>
      <w:pPr>
        <w:pStyle w:val="Heading2"/>
      </w:pPr>
      <w:r>
        <w:t xml:space="preserve">1. Ferramenta de ingestão e alternativa</w:t>
      </w:r>
    </w:p>
    <w:p>
      <w:pPr>
        <w:keepNext w:val="false"/>
        <w:spacing w:after="100" w:before="60"/>
      </w:pPr>
      <w:r>
        <w:t xml:space="preserve">A origem é um banco relacional e a necessidade é analítica, com visão do dia anterior. O </w:t>
      </w:r>
      <w:r>
        <w:rPr>
          <w:b/>
          <w:bCs/>
        </w:rPr>
        <w:t xml:space="preserve">Sqoop</w:t>
      </w:r>
      <w:r>
        <w:t xml:space="preserve"> resolve com poucos parâmetros: lê via JDBC, divide a leitura em mappers paralelos, grava no HDFS e, no modo incremental, traz só o que mudou desde a última carga. Na Rota B, o equivalente foi copiar o arquivo e conferir assinatura MD5 e contagem de linhas.</w:t>
      </w:r>
    </w:p>
    <w:p>
      <w:pPr>
        <w:keepNext w:val="false"/>
        <w:spacing w:after="100" w:before="60"/>
      </w:pPr>
      <w:r>
        <w:t xml:space="preserve">A alternativa seria </w:t>
      </w:r>
      <w:r>
        <w:rPr>
          <w:b/>
          <w:bCs/>
        </w:rPr>
        <w:t xml:space="preserve">Kafka</w:t>
      </w:r>
      <w:r>
        <w:t xml:space="preserve"> (ou Flume/NiFi), recebendo cada transação no momento em que ocorre. Não usei porque o pedido é batch: streaming traria brokers, tópicos e consumidores para operar, sem ganho numa análise olhada semanalmente. Ressalva: o Sqoop foi descontinuado pela Apache em 2021; em produção, eu faria a mesma leitura incremental com o próprio Spark.</w:t>
      </w:r>
    </w:p>
    <w:p>
      <w:pPr>
        <w:pStyle w:val="Heading2"/>
      </w:pPr>
      <w:r>
        <w:t xml:space="preserve">2. Estratégia de particionamento</w:t>
      </w:r>
    </w:p>
    <w:p>
      <w:pPr>
        <w:keepNext w:val="false"/>
        <w:spacing w:after="100" w:before="60"/>
      </w:pPr>
      <w:r>
        <w:t xml:space="preserve">Partições por </w:t>
      </w:r>
      <w:r>
        <w:rPr>
          <w:b/>
          <w:bCs/>
        </w:rPr>
        <w:t xml:space="preserve">ano e mês</w:t>
      </w:r>
      <w:r>
        <w:t xml:space="preserve"> da transação. A consulta mais frequente da área de risco é recortada no tempo ("como fechou a fraude do mês e como compara com o anterior?") e, com essa partição, abre 2 das 12 pastas. A execução confirmou: uma consulta filtrada em março leu 1 de 12 arquivos.</w:t>
      </w:r>
    </w:p>
    <w:p>
      <w:pPr>
        <w:keepNext w:val="false"/>
        <w:spacing w:after="100" w:before="60"/>
      </w:pPr>
      <w:r>
        <w:t xml:space="preserve">Partição por </w:t>
      </w:r>
      <w:r>
        <w:rPr>
          <w:b/>
          <w:bCs/>
        </w:rPr>
        <w:t xml:space="preserve">dia</w:t>
      </w:r>
      <w:r>
        <w:t xml:space="preserve"> foi descartada: com 30 mil transações no ano, seriam 365 pastas com cerca de 80 linhas cada, o clássico problema de arquivos pequenos. Partição por </w:t>
      </w:r>
      <w:r>
        <w:rPr>
          <w:b/>
          <w:bCs/>
        </w:rPr>
        <w:t xml:space="preserve">canal</w:t>
      </w:r>
      <w:r>
        <w:t xml:space="preserve"> também: quase nenhuma consulta filtra só o canal sem recortar o período, e esse filtro acontece no dashboard, sobre a Gold. Com 100 vezes mais volume, cada mês teria cerca de 250 mil linhas, ainda saudável; acima disso, o próximo passo seria particionar por dia.</w:t>
      </w:r>
    </w:p>
    <w:p>
      <w:pPr>
        <w:pStyle w:val="Heading2"/>
      </w:pPr>
      <w:r>
        <w:t xml:space="preserve">3. O que quebra primeiro com 100 vezes o volume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b/>
          <w:bCs/>
        </w:rPr>
        <w:t xml:space="preserve">Carga na origem.</w:t>
      </w:r>
      <w:r>
        <w:t xml:space="preserve"> Ler a tabela inteira todo dia pesaria no banco que atende os clientes. Mitigação: importação incremental, leitura numa réplica e janela noturna.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b/>
          <w:bCs/>
        </w:rPr>
        <w:t xml:space="preserve">Máquina única da Rota B.</w:t>
      </w:r>
      <w:r>
        <w:t xml:space="preserve"> O DuckDB está limitado a um computador e não tem tolerância a falha. O mesmo pipeline passaria a rodar em Spark ou Hive no cluster.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b/>
          <w:bCs/>
        </w:rPr>
        <w:t xml:space="preserve">Reprocessamento completo.</w:t>
      </w:r>
      <w:r>
        <w:t xml:space="preserve"> Recriar todas as camadas a cada carga deixa de ser viável; o certo é reprocessar só a partição do mês com dados novos.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b/>
          <w:bCs/>
        </w:rPr>
        <w:t xml:space="preserve">Arquivos pequenos e desbalanceamento.</w:t>
      </w:r>
      <w:r>
        <w:t xml:space="preserve"> Cargas diárias multiplicam arquivos por partição, e o app concentra 40% do volume. Mitigação: compactação periódica e atenção à distribuição nas agregações.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b/>
          <w:bCs/>
        </w:rPr>
        <w:t xml:space="preserve">Metastore e NameNode.</w:t>
      </w:r>
      <w:r>
        <w:t xml:space="preserve"> O metastore Derby, que deu problema no curso, não aceita vários usuários; em produção seria MySQL ou PostgreSQL, com NameNode em alta disponibilidade.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b/>
          <w:bCs/>
        </w:rPr>
        <w:t xml:space="preserve">Rótulo atrasado.</w:t>
      </w:r>
      <w:r>
        <w:t xml:space="preserve"> Fraudes confirmadas semanas depois exigem reprocessar meses anteriores, o que só é possível porque a raw é imutável e particionada.</w:t>
      </w:r>
    </w:p>
    <w:p>
      <w:pPr>
        <w:keepNext w:val="false"/>
        <w:spacing w:after="100" w:before="60"/>
      </w:pPr>
      <w:r>
        <w:t xml:space="preserve">O que não piora: a tabela principal da Gold cresce com o número de combinações de mês, canal, categoria, segmento e período, não com o número de transações, então o dashboard continua leve.</w:t>
      </w:r>
    </w:p>
    <w:p>
      <w:pPr>
        <w:pStyle w:val="Heading2"/>
      </w:pPr>
      <w:r>
        <w:t xml:space="preserve">4. Detecção de fraude em tempo real</w:t>
      </w:r>
    </w:p>
    <w:p>
      <w:pPr>
        <w:keepNext w:val="false"/>
        <w:spacing w:after="100" w:before="60"/>
      </w:pPr>
      <w:r>
        <w:t xml:space="preserve">A decisão passaria a acontecer enquanto o cliente espera a aprovação. A faixa tracejada do diagrama mostra o caminho adicional: o autorizador publica cada transação no </w:t>
      </w:r>
      <w:r>
        <w:rPr>
          <w:b/>
          <w:bCs/>
        </w:rPr>
        <w:t xml:space="preserve">Kafka</w:t>
      </w:r>
      <w:r>
        <w:t xml:space="preserve">; o </w:t>
      </w:r>
      <w:r>
        <w:rPr>
          <w:b/>
          <w:bCs/>
        </w:rPr>
        <w:t xml:space="preserve">Spark Structured Streaming</w:t>
      </w:r>
      <w:r>
        <w:t xml:space="preserve"> calcula características recentes do cliente em janelas de minutos (por exemplo, compras de viagem pelo app na última hora); elas ficam num armazenamento de baixa latência (</w:t>
      </w:r>
      <w:r>
        <w:rPr>
          <w:b/>
          <w:bCs/>
        </w:rPr>
        <w:t xml:space="preserve">Redis</w:t>
      </w:r>
      <w:r>
        <w:t xml:space="preserve"> ou HBase); uma </w:t>
      </w:r>
      <w:r>
        <w:rPr>
          <w:b/>
          <w:bCs/>
        </w:rPr>
        <w:t xml:space="preserve">API de scoring</w:t>
      </w:r>
      <w:r>
        <w:t xml:space="preserve"> aplica o modelo treinado no batch e responde em menos de 100 ms: aprovar, pedir segundo fator ou negar.</w:t>
      </w:r>
    </w:p>
    <w:p>
      <w:pPr>
        <w:keepNext w:val="false"/>
        <w:spacing w:after="100" w:before="60"/>
      </w:pPr>
      <w:r>
        <w:t xml:space="preserve">O batch continua existindo: os eventos também caem na raw, de onde saem o histórico, o BI e o retreino. As mudanças principais são a ingestão por eventos, uma camada de serving de baixa latência, o monitoramento contínuo do modelo e o tempo de resposta tratado como requisito de negócio.</w:t>
      </w:r>
    </w:p>
    <w:p>
      <w:pPr>
        <w:pStyle w:val="Heading1"/>
        <w:pageBreakBefore/>
      </w:pPr>
      <w:r>
        <w:t xml:space="preserve">Etapa 2 — Execução do pipeline</w:t>
      </w:r>
    </w:p>
    <w:p>
      <w:pPr>
        <w:keepNext w:val="false"/>
        <w:spacing w:after="100" w:before="60"/>
      </w:pPr>
      <w:r>
        <w:rPr>
          <w:b/>
          <w:bCs/>
        </w:rPr>
        <w:t xml:space="preserve">Rota declarada:</w:t>
      </w:r>
      <w:r>
        <w:t xml:space="preserve"> Rota B (sem admin), a mesma dos Labs 1 a 12. O pipeline roda em DuckDB, gravando Parquet particionado em pasta local, no WSL2/Ubuntu. Não houve tentativa de cluster nesta etapa. A ferramenta muda, mas a lógica de cada camada é a mesma que o Hive executaria.</w:t>
      </w:r>
    </w:p>
    <w:p>
      <w:pPr>
        <w:keepNext w:val="false"/>
        <w:spacing w:after="100" w:before="60"/>
      </w:pPr>
      <w:r>
        <w:rPr>
          <w:b/>
          <w:bCs/>
        </w:rPr>
        <w:t xml:space="preserve">Arquivos desta pasta: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generate_avaliacao_dataset.py</w:t>
      </w:r>
      <w:r>
        <w:t xml:space="preserve">: gerador do professor, sem alterações. Produz a base com 30.000 linhas.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pipeline.py</w:t>
      </w:r>
      <w:r>
        <w:t xml:space="preserve">: o pipeline completo, das 6 etapas.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teste_regras_bronze.py</w:t>
      </w:r>
      <w:r>
        <w:t xml:space="preserve">: teste das regras de limpeza com linhas sujas injetadas numa cópia da base.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evidencias/execucao_log.txt</w:t>
      </w:r>
      <w:r>
        <w:t xml:space="preserve">: saída real da execução (schema, contagens, partições, plano de consulta, conferências).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evidencias/teste_regras_bronze_log.txt</w:t>
      </w:r>
      <w:r>
        <w:t xml:space="preserve">: resultado do teste de regras.</w:t>
      </w:r>
    </w:p>
    <w:p>
      <w:pPr>
        <w:pStyle w:val="Heading2"/>
      </w:pPr>
      <w:r>
        <w:t xml:space="preserve">Funil de linhas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1112"/>
        <w:gridCol w:w="5932"/>
      </w:tblGrid>
      <w:tr>
        <w:trPr>
          <w:cantSplit/>
          <w:tblHeader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Linhas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Arquivo CSV de origem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30.000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sem contar o cabeçalho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Raw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30.000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 linhas rejeitadas pelo schema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Raw particionada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30.000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12 partições (jan a dez/2025), de 2.317 a 2.625 linhas cada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Bronze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30.000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 linhas em quarentena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Silver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30.000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nenhuma perda ou duplicação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Gold</w:t>
            </w:r>
          </w:p>
        </w:tc>
        <w:tc>
          <w:tcPr>
            <w:tcW w:type="dxa" w:w="11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 tabelas</w:t>
            </w:r>
          </w:p>
        </w:tc>
        <w:tc>
          <w:tcPr>
            <w:tcW w:type="dxa" w:w="593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 soma das transações em cada tabela confere com 30.000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As 6 etapas</w:t>
      </w:r>
    </w:p>
    <w:p>
      <w:pPr>
        <w:pStyle w:val="Heading3"/>
      </w:pPr>
      <w:r>
        <w:t xml:space="preserve">1. Ingestão</w:t>
      </w:r>
    </w:p>
    <w:p>
      <w:pPr>
        <w:keepNext w:val="false"/>
        <w:spacing w:after="100" w:before="60"/>
      </w:pPr>
      <w:r>
        <w:rPr>
          <w:b/>
          <w:bCs/>
        </w:rPr>
        <w:t xml:space="preserve">O que fez.</w:t>
      </w:r>
      <w:r>
        <w:t xml:space="preserve"> Copiou o arquivo gerado para a pasta de entrada da camada raw, sem mexer em nenhum byte.</w:t>
      </w:r>
    </w:p>
    <w:p>
      <w:pPr>
        <w:keepNext w:val="false"/>
        <w:spacing w:after="100" w:before="60"/>
      </w:pPr>
      <w:r>
        <w:rPr>
          <w:b/>
          <w:bCs/>
        </w:rPr>
        <w:t xml:space="preserve">Decisão.</w:t>
      </w:r>
      <w:r>
        <w:t xml:space="preserve"> Não basta copiar: o pipeline calcula a assinatura MD5 do arquivo de origem e da cópia e conta as linhas. Assim fica provado que o que entrou no ambiente é idêntico ao que saiu da origem. As duas assinaturas bateram e a contagem deu 30.000 linhas.</w:t>
      </w:r>
    </w:p>
    <w:p>
      <w:pPr>
        <w:keepNext w:val="false"/>
        <w:spacing w:after="100" w:before="60"/>
      </w:pPr>
      <w:r>
        <w:rPr>
          <w:b/>
          <w:bCs/>
        </w:rPr>
        <w:t xml:space="preserve">Problema real.</w:t>
      </w:r>
      <w:r>
        <w:t xml:space="preserve"> O gerador do professor grava o arquivo numa pasta temporária do sistema. O pipeline recebe o caminho do arquivo como parâmetro e para com uma mensagem clara se o arquivo não existir, em vez de seguir com uma base vazia.</w:t>
      </w:r>
    </w:p>
    <w:p>
      <w:pPr>
        <w:pStyle w:val="Heading3"/>
      </w:pPr>
      <w:r>
        <w:t xml:space="preserve">2. Tabela raw</w:t>
      </w:r>
    </w:p>
    <w:p>
      <w:pPr>
        <w:keepNext w:val="false"/>
        <w:spacing w:after="100" w:before="60"/>
      </w:pPr>
      <w:r>
        <w:rPr>
          <w:b/>
          <w:bCs/>
        </w:rPr>
        <w:t xml:space="preserve">O que fez.</w:t>
      </w:r>
      <w:r>
        <w:t xml:space="preserve"> Criou a tabela raw declarando o tipo de cada uma das 12 colunas, sem deixar a ferramenta adivinhar.</w:t>
      </w:r>
    </w:p>
    <w:p>
      <w:pPr>
        <w:keepNext w:val="false"/>
        <w:spacing w:after="100" w:before="60"/>
      </w:pPr>
      <w:r>
        <w:rPr>
          <w:b/>
          <w:bCs/>
        </w:rPr>
        <w:t xml:space="preserve">Decisão.</w:t>
      </w:r>
      <w:r>
        <w:t xml:space="preserve"> A coluna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is_fraud</w:t>
      </w:r>
      <w:r>
        <w:t xml:space="preserve"> ficou deliberadamente como texto nesta camada. Nos Labs 2, 4 e 5 vimos que converter "True"/"False" direto para booleano pode zerar todas as fraudes sem dar erro, então a conversão ficou para a Bronze, onde é feita de forma explícita. Também ativei o registro de linhas rejeitadas: uma linha que não respeita o schema (por exemplo, texto no campo de valor) vai para uma tabela de rejeitos, em vez de derrubar a carga inteira.</w:t>
      </w:r>
    </w:p>
    <w:p>
      <w:pPr>
        <w:keepNext w:val="false"/>
        <w:spacing w:after="100" w:before="60"/>
      </w:pPr>
      <w:r>
        <w:rPr>
          <w:b/>
          <w:bCs/>
        </w:rPr>
        <w:t xml:space="preserve">O que foi encontrado.</w:t>
      </w:r>
      <w:r>
        <w:t xml:space="preserve"> 0 rejeições. O rótulo chegou como 29.249 "False" e 751 "True".</w:t>
      </w:r>
    </w:p>
    <w:p>
      <w:pPr>
        <w:pStyle w:val="Heading3"/>
      </w:pPr>
      <w:r>
        <w:t xml:space="preserve">3. Particionamento</w:t>
      </w:r>
    </w:p>
    <w:p>
      <w:pPr>
        <w:keepNext w:val="false"/>
        <w:spacing w:after="100" w:before="60"/>
      </w:pPr>
      <w:r>
        <w:rPr>
          <w:b/>
          <w:bCs/>
        </w:rPr>
        <w:t xml:space="preserve">O que fez.</w:t>
      </w:r>
      <w:r>
        <w:t xml:space="preserve"> Aplicou a estratégia da Etapa 1: gravou a raw em Parquet, separada em pastas por ano e mês. Resultaram 12 pastas.</w:t>
      </w:r>
    </w:p>
    <w:p>
      <w:pPr>
        <w:keepNext w:val="false"/>
        <w:spacing w:after="100" w:before="60"/>
      </w:pPr>
      <w:r>
        <w:rPr>
          <w:b/>
          <w:bCs/>
        </w:rPr>
        <w:t xml:space="preserve">Decisão.</w:t>
      </w:r>
      <w:r>
        <w:t xml:space="preserve"> Particionar já nesta camada para que a Bronze e qualquer consulta posterior aproveitem o corte por período. A evidência está no log: uma consulta filtrada em março mostrou no plano de execução que só 1 dos 12 arquivos foi lido. Os volumes mensais ficaram equilibrados (fevereiro é o menor, com 2.317 linhas; janeiro o maior, com 2.625), então não há partição desproporcional.</w:t>
      </w:r>
    </w:p>
    <w:p>
      <w:pPr>
        <w:keepNext w:val="false"/>
        <w:spacing w:after="100" w:before="60"/>
      </w:pPr>
      <w:r>
        <w:rPr>
          <w:b/>
          <w:bCs/>
        </w:rPr>
        <w:t xml:space="preserve">Ganho de espaço.</w:t>
      </w:r>
      <w:r>
        <w:t xml:space="preserve"> A troca de CSV por Parquet reduziu o armazenamento de 2.678 KB para 743 KB.</w:t>
      </w:r>
    </w:p>
    <w:p>
      <w:pPr>
        <w:pStyle w:val="Heading3"/>
      </w:pPr>
      <w:r>
        <w:t xml:space="preserve">4. Bronze</w:t>
      </w:r>
    </w:p>
    <w:p>
      <w:pPr>
        <w:keepNext w:val="false"/>
        <w:spacing w:after="100" w:before="60"/>
      </w:pPr>
      <w:r>
        <w:rPr>
          <w:b/>
          <w:bCs/>
        </w:rPr>
        <w:t xml:space="preserve">O que fez.</w:t>
      </w:r>
      <w:r>
        <w:t xml:space="preserve"> Limpeza sem regra de negócio: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padronizou texto (espaços nas pontas; minúsculas em canal, categoria, tipo e status);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converteu o rótulo de fraude aceitando só valores conhecidos;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aplicou 14 regras de reprovação.</w:t>
      </w:r>
    </w:p>
    <w:p>
      <w:pPr>
        <w:keepNext w:val="false"/>
        <w:spacing w:after="100" w:before="60"/>
      </w:pPr>
      <w:r>
        <w:t xml:space="preserve">As regras cobrem identificador nulo, duplicata por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transaction_id</w:t>
      </w:r>
      <w:r>
        <w:t xml:space="preserve">, duplicata por conteúdo (a mesma transação com outro id), valor zero, negativo ou acima de R$ 40.000, data fora de 2025, valores fora do domínio esperado em tipo, canal, categoria, status e segmento, risk score fora de 0 a 100, credit score fora de 300 a 900, cliente fora da faixa 1 a 8.000, e rótulo inválido. Na duplicata, fica a primeira ocorrência.</w:t>
      </w:r>
    </w:p>
    <w:p>
      <w:pPr>
        <w:keepNext w:val="false"/>
        <w:spacing w:after="100" w:before="60"/>
      </w:pPr>
      <w:r>
        <w:rPr>
          <w:b/>
          <w:bCs/>
        </w:rPr>
        <w:t xml:space="preserve">Decisão 1: quarentena.</w:t>
      </w:r>
      <w:r>
        <w:t xml:space="preserve"> Linha reprovada não é apagada em silêncio. Ela vai para uma tabela de quarentena com o motivo, para que alguém possa corrigir na origem.</w:t>
      </w:r>
    </w:p>
    <w:p>
      <w:pPr>
        <w:keepNext w:val="false"/>
        <w:spacing w:after="100" w:before="60"/>
      </w:pPr>
      <w:r>
        <w:rPr>
          <w:b/>
          <w:bCs/>
        </w:rPr>
        <w:t xml:space="preserve">Decisão 2: sinalizar sem descartar.</w:t>
      </w:r>
      <w:r>
        <w:t xml:space="preserve"> Alguns casos são válidos, mas o analista precisa saber deles. Nesses, a linha fica e recebe uma sinalização.</w:t>
      </w:r>
    </w:p>
    <w:p>
      <w:pPr>
        <w:keepNext w:val="false"/>
        <w:spacing w:after="100" w:before="60"/>
      </w:pPr>
      <w:r>
        <w:rPr>
          <w:b/>
          <w:bCs/>
        </w:rPr>
        <w:t xml:space="preserve">O que foi encontrado.</w:t>
      </w:r>
      <w:r>
        <w:t xml:space="preserve"> A base oficial é limpa por construção: </w:t>
      </w:r>
      <w:r>
        <w:rPr>
          <w:b/>
          <w:bCs/>
        </w:rPr>
        <w:t xml:space="preserve">nenhuma das 14 regras reprovou linha alguma</w:t>
      </w:r>
      <w:r>
        <w:t xml:space="preserve">. Para mostrar que a Bronze não é uma cópia, rodei o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teste_regras_bronze.py</w:t>
      </w:r>
      <w:r>
        <w:t xml:space="preserve">. Ele injeta 12 linhas sujas numa cópia da base e roda o mesmo pipeline em outra pasta. Resultado: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10 linhas foram para a quarentena, cada uma com o motivo certo: a cópia de uma transação existente (a original permaneceu), a duplicata com outro id e as 8 linhas com valor, data, score, canal, rótulo ou cliente inválido;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 linha com texto no campo de valor foi barrada já na raw, pelo schema;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 linha com canal " APP " e categoria "Viagem" foi corrigida para "app" e "viagem" e aceita;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 Bronze do teste terminou com 30.001 linhas, exatamente o esperado.</w:t>
      </w:r>
    </w:p>
    <w:p>
      <w:pPr>
        <w:keepNext w:val="false"/>
        <w:spacing w:after="100" w:before="60"/>
      </w:pPr>
      <w:r>
        <w:t xml:space="preserve">A base oficial também tem problemas reais que não são motivo de descarte: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Valores no piso.</w:t>
      </w:r>
      <w:r>
        <w:t xml:space="preserve"> 573 transações têm valor exatamente R$ 5,00. O gerador corta tudo que ficaria abaixo disso, então esses valores não são reais. Ficaram marcados.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Credit score nos limites.</w:t>
      </w:r>
      <w:r>
        <w:t xml:space="preserve"> 1.222 transações têm credit score exatamente 300 ou 900, pelo mesmo motivo. Também marcadas.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Rótulo × status.</w:t>
      </w:r>
      <w:r>
        <w:t xml:space="preserve"> 100% das 751 fraudes estão com status "declined", e 2.301 transações legítimas também foram recusadas. Nenhuma fraude aparece como aprovada. Consequência: o status é praticamente uma consequência do rótulo, e usá-lo num modelo seria vazamento de informação. Ele ficou fora do modelo do bônus.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Segmento inconsistente por cliente.</w:t>
      </w:r>
      <w:r>
        <w:t xml:space="preserve"> Dos 7.803 clientes, 5.887 aparecem com mais de um segmento em transações diferentes. Não há como saber qual é o correto, então tratei o segmento como a classificação do cliente no momento da transação, e não como atributo fixo. Por isso não criei uma tabela de clientes única a partir desta base.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Horário só em hora cheia.</w:t>
      </w:r>
      <w:r>
        <w:t xml:space="preserve"> Todos os minutos e segundos são 00. Toda análise temporal foi feita no máximo por hora.</w:t>
      </w:r>
    </w:p>
    <w:p>
      <w:pPr>
        <w:pStyle w:val="Heading3"/>
      </w:pPr>
      <w:r>
        <w:t xml:space="preserve">5. Silver</w:t>
      </w:r>
    </w:p>
    <w:p>
      <w:pPr>
        <w:keepNext w:val="false"/>
        <w:spacing w:after="100" w:before="60"/>
      </w:pPr>
      <w:r>
        <w:rPr>
          <w:b/>
          <w:bCs/>
        </w:rPr>
        <w:t xml:space="preserve">O que fez.</w:t>
      </w:r>
      <w:r>
        <w:t xml:space="preserve"> Acrescentou as colunas de contexto que as etapas seguintes usam, e só elas: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data e hora;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dia da semana (segunda = 1, com o nome abreviado);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período do dia;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faixa de credit score (300–499, 500–699, 700–900);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faixa do risk score atual (abaixo de 60, 60–79, 80 ou mais);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indicação de recusa (status "declined").</w:t>
      </w:r>
    </w:p>
    <w:p>
      <w:pPr>
        <w:keepNext w:val="false"/>
        <w:spacing w:after="100" w:before="60"/>
      </w:pPr>
      <w:r>
        <w:t xml:space="preserve">A Silver ficou com 22 colunas: as 12 originais, ano e mês (que vêm das pastas da partição) e as 8 derivadas acima.</w:t>
      </w:r>
    </w:p>
    <w:p>
      <w:pPr>
        <w:keepNext w:val="false"/>
        <w:spacing w:after="100" w:before="60"/>
      </w:pPr>
      <w:r>
        <w:rPr>
          <w:b/>
          <w:bCs/>
        </w:rPr>
        <w:t xml:space="preserve">Decisão sobre o que entra.</w:t>
      </w:r>
      <w:r>
        <w:t xml:space="preserve"> A regra foi manter na Silver apenas o que alguma tabela Gold, análise ou o modelo realmente utiliza. Colunas cogitadas e deixadas de fora: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faixa de valor e dia do mês: o valor não separa fraude, e o dia do mês não entrou em nenhuma análise;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indicação de fim de semana: a análise por dia da semana já cobre;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combinação canal + categoria: a Gold guarda as duas dimensões separadas, e o cruzamento é feito na agregação;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colunas de histórico do cliente (quantidade de transações no ano, valor em relação à média dele): seriam calculadas com o ano inteiro, o que usaria informação do futuro em relação a cada transação.</w:t>
      </w:r>
    </w:p>
    <w:p>
      <w:pPr>
        <w:keepNext w:val="false"/>
        <w:spacing w:after="100" w:before="60"/>
      </w:pPr>
      <w:r>
        <w:t xml:space="preserve">As sinalizações de qualidade (valor no piso, score no limite) ficaram só na Bronze, onde são contadas e diagnosticadas.</w:t>
      </w:r>
    </w:p>
    <w:p>
      <w:pPr>
        <w:keepNext w:val="false"/>
        <w:spacing w:after="100" w:before="60"/>
      </w:pPr>
      <w:r>
        <w:rPr>
          <w:b/>
          <w:bCs/>
        </w:rPr>
        <w:t xml:space="preserve">Decisão sobre o período do dia.</w:t>
      </w:r>
      <w:r>
        <w:t xml:space="preserve"> Usei uma convenção fixa, definida antes de olhar a fraude: madrugada de 0h a 5h59, manhã de 6h a 11h59, tarde de 12h a 17h59 e noite de 18h a 23h59. Assim o corte não é ajustado aos dados. A análise hora a hora da Etapa 3 mostra que isso tem um custo pequeno: as horas de 0h a 4h ficam todas acima de 3% de fraude, e às 5h a taxa já é 2,30%, o que dilui um pouco a taxa da madrugada.</w:t>
      </w:r>
    </w:p>
    <w:p>
      <w:pPr>
        <w:keepNext w:val="false"/>
        <w:spacing w:after="100" w:before="60"/>
      </w:pPr>
      <w:r>
        <w:rPr>
          <w:b/>
          <w:bCs/>
        </w:rPr>
        <w:t xml:space="preserve">Problema real resolvido.</w:t>
      </w:r>
      <w:r>
        <w:t xml:space="preserve"> No curso, a Silver fazia um JOIN com a tabela de clientes para trazer segmento e credit score, e perdia cerca de 46 transações de clientes inexistentes. Nesta base, esses campos já vêm na própria transação, então não houve JOIN nem perda: a Silver tem as mesmas 30.000 linhas da Bronze. Com o segmento inconsistente por cliente (item 4), fazer esse JOIN teria sido um erro.</w:t>
      </w:r>
    </w:p>
    <w:p>
      <w:pPr>
        <w:pStyle w:val="Heading3"/>
      </w:pPr>
      <w:r>
        <w:t xml:space="preserve">6. Gold</w:t>
      </w:r>
    </w:p>
    <w:p>
      <w:pPr>
        <w:keepNext w:val="false"/>
        <w:spacing w:after="100" w:before="60"/>
      </w:pPr>
      <w:r>
        <w:rPr>
          <w:b/>
          <w:bCs/>
        </w:rPr>
        <w:t xml:space="preserve">O que fez.</w:t>
      </w:r>
      <w:r>
        <w:t xml:space="preserve"> Criou 4 tabelas agregadas, todas com as mesmas medidas: transações, fraudes, recusas, recusas de clientes legítimos, valor total e valor fraudado.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gold_cubo_risco</w:t>
      </w:r>
      <w:r>
        <w:t xml:space="preserve"> (3.235 linhas): uma linha por mês × canal × categoria × segmento × período do dia.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gold_serie_diaria</w:t>
      </w:r>
      <w:r>
        <w:t xml:space="preserve"> (1.460 linhas): uma linha por dia × canal.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gold_perfil_horario</w:t>
      </w:r>
      <w:r>
        <w:t xml:space="preserve"> (168 linhas): hora × dia da semana.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gold_segmento_score</w:t>
      </w:r>
      <w:r>
        <w:t xml:space="preserve"> (27 linhas): segmento × faixa de credit score × faixa do risk score.</w:t>
      </w:r>
    </w:p>
    <w:p>
      <w:pPr>
        <w:keepNext w:val="false"/>
        <w:spacing w:after="100" w:before="60"/>
      </w:pPr>
      <w:r>
        <w:rPr>
          <w:b/>
          <w:bCs/>
        </w:rPr>
        <w:t xml:space="preserve">Decisão.</w:t>
      </w:r>
      <w:r>
        <w:t xml:space="preserve"> A Gold guarda </w:t>
      </w:r>
      <w:r>
        <w:rPr>
          <w:b/>
          <w:bCs/>
        </w:rPr>
        <w:t xml:space="preserve">contagens e somas, não taxas</w:t>
      </w:r>
      <w:r>
        <w:t xml:space="preserve">. Uma taxa de fraude não pode ser somada nem tirada a média entre grupos de tamanhos diferentes. Guardando fraudes e transações, o dashboard recalcula a taxa correta para qualquer combinação de filtros.</w:t>
      </w:r>
    </w:p>
    <w:p>
      <w:pPr>
        <w:keepNext w:val="false"/>
        <w:spacing w:after="100" w:before="60"/>
      </w:pPr>
      <w:r>
        <w:rPr>
          <w:b/>
          <w:bCs/>
        </w:rPr>
        <w:t xml:space="preserve">Conferência.</w:t>
      </w:r>
      <w:r>
        <w:t xml:space="preserve"> Em cada tabela, a soma das transações deu 30.000. Por segmento, a Gold reproduz os números do gerador do professor: High-Risk 9,67%, Standard 2,93%, Premium 0,95%.</w:t>
      </w:r>
    </w:p>
    <w:p>
      <w:pPr>
        <w:pStyle w:val="Heading2"/>
      </w:pPr>
      <w:r>
        <w:t xml:space="preserve">Respostas às perguntas do enunciado</w:t>
      </w:r>
    </w:p>
    <w:p>
      <w:pPr>
        <w:pStyle w:val="Heading3"/>
      </w:pPr>
      <w:r>
        <w:t xml:space="preserve">1. Quantas linhas sobreviveram da Bronze em diante? Alguma foi descartada?</w:t>
      </w:r>
    </w:p>
    <w:p>
      <w:pPr>
        <w:keepNext w:val="false"/>
        <w:spacing w:after="100" w:before="60"/>
      </w:pPr>
      <w:r>
        <w:t xml:space="preserve">As 30.000 sobreviveram em todas as camadas; nenhuma foi descartada. Não é falta de limpeza: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as 14 regras foram aplicadas e contadas uma a uma, e todas deram zero nesta base;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o teste com linhas sujas prova que elas funcionam;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os problemas que existem (valores no piso, scores nos limites, segmento inconsistente) foram sinalizados ou tratados na interpretação, porque descartá-los apagaria transações verdadeiras.</w:t>
      </w:r>
    </w:p>
    <w:p>
      <w:pPr>
        <w:pStyle w:val="Heading3"/>
      </w:pPr>
      <w:r>
        <w:t xml:space="preserve">2. A Silver usa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channel</w:t>
      </w:r>
      <w:r>
        <w:t xml:space="preserve"> e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merchant_category</w:t>
      </w:r>
      <w:r>
        <w:t xml:space="preserve">? Por quê?</w:t>
      </w:r>
    </w:p>
    <w:p>
      <w:pPr>
        <w:keepNext w:val="false"/>
        <w:spacing w:after="100" w:before="60"/>
      </w:pPr>
      <w:r>
        <w:t xml:space="preserve">Sim, as duas, e também a combinação delas. O gerador foi construído para que a fraude dependa desses campos, e a exploração confirmou: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canal:</w:t>
      </w:r>
      <w:r>
        <w:t xml:space="preserve"> o app tem 3,79% de fraude, contra 1,42% a 1,80% nos outros canais;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categoria:</w:t>
      </w:r>
      <w:r>
        <w:t xml:space="preserve"> viagem tem 5,32%, contra 1,96% a 2,47% nas demais;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combinação:</w:t>
      </w:r>
      <w:r>
        <w:t xml:space="preserve"> app + viagem chega a 8,00%.</w:t>
      </w:r>
    </w:p>
    <w:p>
      <w:pPr>
        <w:keepNext w:val="false"/>
        <w:spacing w:after="100" w:before="60"/>
      </w:pPr>
      <w:r>
        <w:t xml:space="preserve">Sem esses campos, a Silver esconderia justamente onde a fraude se concentra, e a análise ficaria presa ao segmento, como no Lab 12. As duas dimensões seguem juntas até a Gold (no cubo de risco), porque o efeito conjunto é maior que cada um separado, e é lá que o cruzamento é calculado.</w:t>
      </w:r>
    </w:p>
    <w:p>
      <w:pPr>
        <w:pStyle w:val="Heading3"/>
      </w:pPr>
      <w:r>
        <w:t xml:space="preserve">3. Que agregações foram para a Gold e o que elas respondem?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Cubo de risco:</w:t>
      </w:r>
      <w:r>
        <w:t xml:space="preserve"> alimenta os KPIs, os gráficos de composição por canal, categoria e segmento, a tabela de detalhe e a curva de captura do dashboard. Responde às análises de segmento, canal, categoria e período.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Série diária por canal:</w:t>
      </w:r>
      <w:r>
        <w:t xml:space="preserve"> alimenta a média móvel de 7 dias, que mostra se a fraude está subindo ou descendo.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Perfil hora × dia da semana:</w:t>
      </w:r>
      <w:r>
        <w:t xml:space="preserve"> responde à análise temporal fina (qual hora e qual dia concentram fraude).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Segmento × faixa de score:</w:t>
      </w:r>
      <w:r>
        <w:t xml:space="preserve"> responde se o credit score e o risk score atual separam fraude, que é a base da pergunta de negócio própria da Etapa 3.</w:t>
      </w:r>
    </w:p>
    <w:p>
      <w:pPr>
        <w:pStyle w:val="Heading1"/>
        <w:pageBreakBefore/>
      </w:pPr>
      <w:r>
        <w:t xml:space="preserve">Etapa 3 — Análise e Dashboard</w:t>
      </w:r>
    </w:p>
    <w:p>
      <w:pPr>
        <w:pStyle w:val="Heading2"/>
      </w:pPr>
      <w:r>
        <w:t xml:space="preserve">Relatório de achados</w:t>
      </w:r>
    </w:p>
    <w:p>
      <w:pPr>
        <w:keepNext w:val="false"/>
        <w:spacing w:after="100" w:before="60"/>
      </w:pPr>
      <w:r>
        <w:rPr>
          <w:b/>
          <w:bCs/>
        </w:rPr>
        <w:t xml:space="preserve">Como os números foram produzidos:</w:t>
      </w:r>
      <w:r>
        <w:t xml:space="preserve">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analises.py</w:t>
      </w:r>
      <w:r>
        <w:t xml:space="preserve"> lê a Gold (e a Silver quando precisa do nível da transação). Cada tabela citada está em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resultados/</w:t>
      </w:r>
      <w:r>
        <w:t xml:space="preserve"> e todas estão reunidas em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resultados/resumo_analises.md</w:t>
      </w:r>
      <w:r>
        <w:t xml:space="preserve">. O dashboard (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dashboard.html</w:t>
      </w:r>
      <w:r>
        <w:t xml:space="preserve">, gerado por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dashboard.py</w:t>
      </w:r>
      <w:r>
        <w:t xml:space="preserve">) lê as mesmas tabelas Gold, por isso os números batem.</w:t>
      </w:r>
    </w:p>
    <w:p>
      <w:pPr>
        <w:keepNext w:val="false"/>
        <w:spacing w:after="100" w:before="60"/>
      </w:pPr>
      <w:r>
        <w:rPr>
          <w:b/>
          <w:bCs/>
        </w:rPr>
        <w:t xml:space="preserve">Convenções: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Taxa de fraude</w:t>
      </w:r>
      <w:r>
        <w:t xml:space="preserve"> = fraudes ÷ transações do grupo.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Lift</w:t>
      </w:r>
      <w:r>
        <w:t xml:space="preserve"> = taxa do grupo ÷ taxa geral; 1,00 significa igual à média.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 taxa geral da base é </w:t>
      </w:r>
      <w:r>
        <w:rPr>
          <w:b/>
          <w:bCs/>
        </w:rPr>
        <w:t xml:space="preserve">2,50%</w:t>
      </w:r>
      <w:r>
        <w:t xml:space="preserve">: 751 fraudes em 30.000 transações, somando R$ 119.368 fraudados de R$ 5.207.844 transacionados (2,29% do valor).</w:t>
      </w:r>
    </w:p>
    <w:p>
      <w:pPr>
        <w:keepNext w:val="false"/>
        <w:spacing w:after="100" w:before="60"/>
      </w:pPr>
      <w:r>
        <w:t xml:space="preserve">Foram feitas as cinco análises da lista. Cada uma segue o framework da aula: Finding → Insight → Ação.</w:t>
      </w:r>
    </w:p>
    <w:p>
      <w:pPr>
        <w:pStyle w:val="Heading3"/>
      </w:pPr>
      <w:r>
        <w:t xml:space="preserve">Análise 1 — Segmentação por segmento e score</w:t>
      </w:r>
    </w:p>
    <w:p>
      <w:pPr>
        <w:keepNext/>
        <w:spacing w:after="100" w:before="60"/>
      </w:pPr>
      <w:r>
        <w:rPr>
          <w:b/>
          <w:bCs/>
        </w:rPr>
        <w:t xml:space="preserve">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2585"/>
        <w:gridCol w:w="3055"/>
        <w:gridCol w:w="1883"/>
      </w:tblGrid>
      <w:tr>
        <w:trPr>
          <w:cantSplit/>
          <w:tblHeader/>
        </w:trPr>
        <w:tc>
          <w:tcPr>
            <w:tcW w:type="dxa" w:w="21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58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do volume</w:t>
            </w:r>
          </w:p>
        </w:tc>
        <w:tc>
          <w:tcPr>
            <w:tcW w:type="dxa" w:w="30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das fraudes</w:t>
            </w:r>
          </w:p>
        </w:tc>
        <w:tc>
          <w:tcPr>
            <w:tcW w:type="dxa" w:w="188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High-Risk</w:t>
            </w:r>
          </w:p>
        </w:tc>
        <w:tc>
          <w:tcPr>
            <w:tcW w:type="dxa" w:w="258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9,7%</w:t>
            </w:r>
          </w:p>
        </w:tc>
        <w:tc>
          <w:tcPr>
            <w:tcW w:type="dxa" w:w="30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37,5%</w:t>
            </w:r>
          </w:p>
        </w:tc>
        <w:tc>
          <w:tcPr>
            <w:tcW w:type="dxa" w:w="188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9,67%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Standard</w:t>
            </w:r>
          </w:p>
        </w:tc>
        <w:tc>
          <w:tcPr>
            <w:tcW w:type="dxa" w:w="258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35,5%</w:t>
            </w:r>
          </w:p>
        </w:tc>
        <w:tc>
          <w:tcPr>
            <w:tcW w:type="dxa" w:w="30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41,5%</w:t>
            </w:r>
          </w:p>
        </w:tc>
        <w:tc>
          <w:tcPr>
            <w:tcW w:type="dxa" w:w="188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2,93%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Premium</w:t>
            </w:r>
          </w:p>
        </w:tc>
        <w:tc>
          <w:tcPr>
            <w:tcW w:type="dxa" w:w="258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54,8%</w:t>
            </w:r>
          </w:p>
        </w:tc>
        <w:tc>
          <w:tcPr>
            <w:tcW w:type="dxa" w:w="305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20,9%</w:t>
            </w:r>
          </w:p>
        </w:tc>
        <w:tc>
          <w:tcPr>
            <w:tcW w:type="dxa" w:w="188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0,95%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60"/>
      </w:pPr>
      <w:r>
        <w:t xml:space="preserve">O High-Risk tem 10 vezes a taxa do Premium. O credit score não acompanha essa diferença: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o score médio é praticamente igual nos três segmentos (High-Risk 635, Standard 640, Premium 638);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por faixa de score, a taxa não cai quando o score sobe: 1,97% (300–499), 2,47% (500–699), 2,80% (700–900);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isolado, o credit score separa fraude quase como um sorteio (AUC 0,529, onde 0,50 é aleatório).</w:t>
      </w:r>
    </w:p>
    <w:p>
      <w:pPr>
        <w:keepNext w:val="false"/>
        <w:spacing w:after="100" w:before="60"/>
      </w:pPr>
      <w:r>
        <w:rPr>
          <w:b/>
          <w:bCs/>
        </w:rPr>
        <w:t xml:space="preserve">Insight.</w:t>
      </w:r>
      <w:r>
        <w:t xml:space="preserve"> Nesta base, o segmento carrega o sinal de fraude e o credit score não. Faz sentido: credit score mede chance de inadimplência, não de a transação ser fraudulenta. A pequena diferença entre faixas vai no sentido contrário ao intuitivo e não tem uso prático. O segmento também se combina com o canal: High-Risk no app chega a </w:t>
      </w:r>
      <w:r>
        <w:rPr>
          <w:b/>
          <w:bCs/>
        </w:rPr>
        <w:t xml:space="preserve">13,78%</w:t>
      </w:r>
      <w:r>
        <w:t xml:space="preserve"> de fraude, com 3,9% do volume e 21,6% de todas as fraudes.</w:t>
      </w:r>
    </w:p>
    <w:p>
      <w:pPr>
        <w:keepNext w:val="false"/>
        <w:spacing w:after="100" w:before="60"/>
      </w:pPr>
      <w:r>
        <w:rPr>
          <w:b/>
          <w:bCs/>
        </w:rPr>
        <w:t xml:space="preserve">Ação.</w:t>
      </w:r>
      <w:r>
        <w:t xml:space="preserve"> Não usar credit score como filtro de fraude. Usar o segmento como primeira camada das regras, começando pelo High-Risk no app, que tem a maior taxa entre os 12 cruzamentos de segmento e canal.</w:t>
      </w:r>
    </w:p>
    <w:p>
      <w:pPr>
        <w:pStyle w:val="Heading3"/>
      </w:pPr>
      <w:r>
        <w:t xml:space="preserve">Análise 2 — Risco por canal</w:t>
      </w:r>
    </w:p>
    <w:p>
      <w:pPr>
        <w:keepNext/>
        <w:spacing w:after="100" w:before="60"/>
      </w:pPr>
      <w:r>
        <w:rPr>
          <w:b/>
          <w:bCs/>
        </w:rPr>
        <w:t xml:space="preserve">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2208"/>
        <w:gridCol w:w="2612"/>
      </w:tblGrid>
      <w:tr>
        <w:trPr>
          <w:cantSplit/>
          <w:tblHeader/>
        </w:trPr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Lift</w:t>
            </w:r>
          </w:p>
        </w:tc>
        <w:tc>
          <w:tcPr>
            <w:tcW w:type="dxa" w:w="22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do volume</w:t>
            </w:r>
          </w:p>
        </w:tc>
        <w:tc>
          <w:tcPr>
            <w:tcW w:type="dxa" w:w="26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das fraudes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App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3,79%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1,51</w:t>
            </w:r>
          </w:p>
        </w:tc>
        <w:tc>
          <w:tcPr>
            <w:tcW w:type="dxa" w:w="22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40,1%</w:t>
            </w:r>
          </w:p>
        </w:tc>
        <w:tc>
          <w:tcPr>
            <w:tcW w:type="dxa" w:w="26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60,6%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ATM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1,80%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0,72</w:t>
            </w:r>
          </w:p>
        </w:tc>
        <w:tc>
          <w:tcPr>
            <w:tcW w:type="dxa" w:w="22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10,0%</w:t>
            </w:r>
          </w:p>
        </w:tc>
        <w:tc>
          <w:tcPr>
            <w:tcW w:type="dxa" w:w="26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7,2%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Web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1,74%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0,70</w:t>
            </w:r>
          </w:p>
        </w:tc>
        <w:tc>
          <w:tcPr>
            <w:tcW w:type="dxa" w:w="22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30,0%</w:t>
            </w:r>
          </w:p>
        </w:tc>
        <w:tc>
          <w:tcPr>
            <w:tcW w:type="dxa" w:w="26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20,9%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POS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1,42%</w:t>
            </w:r>
          </w:p>
        </w:tc>
        <w:tc>
          <w:tcPr>
            <w:tcW w:type="dxa" w:w="16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0,57</w:t>
            </w:r>
          </w:p>
        </w:tc>
        <w:tc>
          <w:tcPr>
            <w:tcW w:type="dxa" w:w="220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19,9%</w:t>
            </w:r>
          </w:p>
        </w:tc>
        <w:tc>
          <w:tcPr>
            <w:tcW w:type="dxa" w:w="261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11,3%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60"/>
      </w:pPr>
      <w:r>
        <w:t xml:space="preserve">Em valor, o app responde por R$ 63.910, ou 53,5% de todo o valor fraudado.</w:t>
      </w:r>
    </w:p>
    <w:p>
      <w:pPr>
        <w:keepNext w:val="false"/>
        <w:spacing w:after="100" w:before="60"/>
      </w:pPr>
      <w:r>
        <w:rPr>
          <w:b/>
          <w:bCs/>
        </w:rPr>
        <w:t xml:space="preserve">Insight.</w:t>
      </w:r>
      <w:r>
        <w:t xml:space="preserve"> O app não é arriscado só porque atende mais clientes High-Risk. Dentro de </w:t>
      </w:r>
      <w:r>
        <w:rPr>
          <w:b/>
          <w:bCs/>
        </w:rPr>
        <w:t xml:space="preserve">cada</w:t>
      </w:r>
      <w:r>
        <w:t xml:space="preserve"> segmento, ele é o canal com maior taxa: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Premium: 1,50% no app, contra no máximo 0,68% nos outros canais;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Standard: 4,54% contra no máximo 2,26%;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High-Risk: 13,78% contra no máximo 7,44%.</w:t>
      </w:r>
    </w:p>
    <w:p>
      <w:pPr>
        <w:keepNext w:val="false"/>
        <w:spacing w:after="100" w:before="60"/>
      </w:pPr>
      <w:r>
        <w:t xml:space="preserve">O efeito é do canal. O POS, onde o cartão está presente fisicamente, é o mais seguro.</w:t>
      </w:r>
    </w:p>
    <w:p>
      <w:pPr>
        <w:keepNext w:val="false"/>
        <w:spacing w:after="100" w:before="60"/>
      </w:pPr>
      <w:r>
        <w:rPr>
          <w:b/>
          <w:bCs/>
        </w:rPr>
        <w:t xml:space="preserve">Ação.</w:t>
      </w:r>
      <w:r>
        <w:t xml:space="preserve"> Concentrar a autenticação extra no app e deixar o POS com o fluxo atual. Para os segmentos Standard e High-Risk no app, que somam 18,2% do volume e 47,5% das fraudes, vale avaliar um segundo fator em transações fora do padrão do cliente.</w:t>
      </w:r>
    </w:p>
    <w:p>
      <w:pPr>
        <w:pStyle w:val="Heading3"/>
      </w:pPr>
      <w:r>
        <w:t xml:space="preserve">Análise 3 — Risco por categoria de estabelecimento</w:t>
      </w:r>
    </w:p>
    <w:p>
      <w:pPr>
        <w:keepNext/>
        <w:spacing w:after="100" w:before="60"/>
      </w:pPr>
      <w:r>
        <w:rPr>
          <w:b/>
          <w:bCs/>
        </w:rPr>
        <w:t xml:space="preserve">Finding.</w:t>
      </w:r>
      <w:r>
        <w:t xml:space="preserve"> Viagem tem 5,32% de fraude (lift 2,12). Com 10,0% do volume, concentra 21,3% das fraudes e R$ 25.966 fraudados. As outras cinco categorias ficam entre 1,96% (eletrônico) e 2,47% (saúde), todas perto ou abaixo da média. Viagem é a categoria mais arriscada em todos os canais: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6134"/>
      </w:tblGrid>
      <w:tr>
        <w:trPr>
          <w:cantSplit/>
          <w:tblHeader/>
        </w:trPr>
        <w:tc>
          <w:tcPr>
            <w:tcW w:type="dxa" w:w="350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1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 em viagem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App</w:t>
            </w:r>
          </w:p>
        </w:tc>
        <w:tc>
          <w:tcPr>
            <w:tcW w:type="dxa" w:w="61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8,00%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POS</w:t>
            </w:r>
          </w:p>
        </w:tc>
        <w:tc>
          <w:tcPr>
            <w:tcW w:type="dxa" w:w="61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3,76%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ATM</w:t>
            </w:r>
          </w:p>
        </w:tc>
        <w:tc>
          <w:tcPr>
            <w:tcW w:type="dxa" w:w="61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3,72%</w:t>
            </w:r>
          </w:p>
        </w:tc>
      </w:tr>
      <w:tr>
        <w:trPr>
          <w:cantSplit/>
        </w:trPr>
        <w:tc>
          <w:tcPr>
            <w:tcW w:type="dxa" w:w="350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Web</w:t>
            </w:r>
          </w:p>
        </w:tc>
        <w:tc>
          <w:tcPr>
            <w:tcW w:type="dxa" w:w="613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3,14%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60"/>
      </w:pPr>
      <w:r>
        <w:rPr>
          <w:b/>
          <w:bCs/>
        </w:rPr>
        <w:t xml:space="preserve">Insight.</w:t>
      </w:r>
      <w:r>
        <w:t xml:space="preserve"> O risco de viagem se soma ao do app. A combinação </w:t>
      </w:r>
      <w:r>
        <w:rPr>
          <w:b/>
          <w:bCs/>
        </w:rPr>
        <w:t xml:space="preserve">app + viagem</w:t>
      </w:r>
      <w:r>
        <w:t xml:space="preserve"> tem 8,00% de fraude, acima de cada efeito isolado (3,79% do app e 5,32% de viagem). Com apenas 4,1% do volume (1.237 transações), ela concentra 13,2% das fraudes. Eletrônico, por sua vez, tem a menor taxa da base (1,96%).</w:t>
      </w:r>
    </w:p>
    <w:p>
      <w:pPr>
        <w:keepNext w:val="false"/>
        <w:spacing w:after="100" w:before="60"/>
      </w:pPr>
      <w:r>
        <w:rPr>
          <w:b/>
          <w:bCs/>
        </w:rPr>
        <w:t xml:space="preserve">Ação.</w:t>
      </w:r>
      <w:r>
        <w:t xml:space="preserve"> Exigir confirmação adicional em compras de viagem pelo app. É a regra com menor atrito entre as que usam só canal e categoria.</w:t>
      </w:r>
    </w:p>
    <w:p>
      <w:pPr>
        <w:pStyle w:val="Heading3"/>
      </w:pPr>
      <w:r>
        <w:t xml:space="preserve">Análise 4 — Padrão temporal</w:t>
      </w:r>
    </w:p>
    <w:p>
      <w:pPr>
        <w:keepNext w:val="false"/>
        <w:spacing w:after="100" w:before="60"/>
      </w:pPr>
      <w:r>
        <w:rPr>
          <w:b/>
          <w:bCs/>
        </w:rPr>
        <w:t xml:space="preserve">Finding.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Período do dia.</w:t>
      </w:r>
      <w:r>
        <w:t xml:space="preserve"> A madrugada (0h a 5h59, convenção fixa definida na Silver) tem 3,27% de fraude (lift 1,31) e concentra 32,9% das fraudes com 25,2% do volume. Manhã, tarde e noite ficam entre 2,17% e 2,29%.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Hora a hora.</w:t>
      </w:r>
      <w:r>
        <w:t xml:space="preserve"> As horas de 0h a 4h estão todas acima de 3%, com pico à 1h (4,46%). Às 5h a taxa já é 2,30%.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Dia da semana.</w:t>
      </w:r>
      <w:r>
        <w:t xml:space="preserve"> Não há padrão: todos os dias ficam entre 2,32% (segunda) e 2,74% (domingo).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Mês.</w:t>
      </w:r>
      <w:r>
        <w:t xml:space="preserve"> Também não: a taxa oscila entre 2,08% (setembro) e 2,80% (dezembro), sem tendência de alta ou de baixa ao longo do ano.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Combinação.</w:t>
      </w:r>
      <w:r>
        <w:t xml:space="preserve"> App + viagem de madrugada chega a 9,27%, com 313 transações e 29 fraudes.</w:t>
      </w:r>
    </w:p>
    <w:p>
      <w:pPr>
        <w:keepNext w:val="false"/>
        <w:spacing w:after="100" w:before="60"/>
      </w:pPr>
      <w:r>
        <w:rPr>
          <w:b/>
          <w:bCs/>
        </w:rPr>
        <w:t xml:space="preserve">Insight.</w:t>
      </w:r>
      <w:r>
        <w:t xml:space="preserve"> O sinal temporal está na hora, não no calendário. Isso é diferente da base usada no curso, onde a fraude acompanhava o fim do mês, e mostra por que a exploração precisou ser refeita em vez de reaproveitar as conclusões do Lab 8. O risco concentra-se entre 0h e 4h; a convenção de madrugada até 5h59 inclui uma hora já próxima da média, o que dilui um pouco a taxa, mas evita um corte ajustado aos próprios dados. Como a série mensal é estável, uma alta futura na tendência do dashboard será sinal de mudança real, e não sazonalidade conhecida.</w:t>
      </w:r>
    </w:p>
    <w:p>
      <w:pPr>
        <w:keepNext w:val="false"/>
        <w:spacing w:after="100" w:before="60"/>
      </w:pPr>
      <w:r>
        <w:rPr>
          <w:b/>
          <w:bCs/>
        </w:rPr>
        <w:t xml:space="preserve">Ação.</w:t>
      </w:r>
      <w:r>
        <w:t xml:space="preserve"> Incluir a madrugada como critério nas regras do app e não criar regras por dia da semana ou por mês, que não têm base nos dados.</w:t>
      </w:r>
    </w:p>
    <w:p>
      <w:pPr>
        <w:pStyle w:val="Heading3"/>
      </w:pPr>
      <w:r>
        <w:t xml:space="preserve">Análise 5 — Pergunta própria: o motor de risco atual aponta para as transações certas?</w:t>
      </w:r>
    </w:p>
    <w:p>
      <w:pPr>
        <w:keepNext w:val="false"/>
        <w:spacing w:after="100" w:before="60"/>
      </w:pPr>
      <w:r>
        <w:rPr>
          <w:b/>
          <w:bCs/>
        </w:rPr>
        <w:t xml:space="preserve">Pergunta.</w:t>
      </w:r>
      <w:r>
        <w:t xml:space="preserve"> A TechPay já tem um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risk_score</w:t>
      </w:r>
      <w:r>
        <w:t xml:space="preserve"> (0 a 100) em cada transação. Se a empresa aceitar exigir autenticação extra em cerca de 20% das transações, qual critério alcança mais fraudes: o score atual ou regras construídas a partir das análises 1 a 4?</w:t>
      </w:r>
    </w:p>
    <w:p>
      <w:pPr>
        <w:keepNext w:val="false"/>
        <w:spacing w:after="100" w:before="60"/>
      </w:pPr>
      <w:r>
        <w:rPr>
          <w:b/>
          <w:bCs/>
        </w:rPr>
        <w:t xml:space="preserve">Finding.</w:t>
      </w:r>
      <w:r>
        <w:t xml:space="preserve"> O score atual quase não separa fraude: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por faixa, a taxa é 2,37% abaixo de 60, 2,08% entre 60 e 79 e 3,32% a partir de 80;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 faixa intermediária tem até menos fraude que a mais baixa;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isolado, o score tem AUC de 0,535.</w:t>
      </w:r>
    </w:p>
    <w:p>
      <w:pPr>
        <w:keepNext/>
        <w:spacing w:after="100" w:before="60"/>
      </w:pPr>
      <w:r>
        <w:t xml:space="preserve">Simulação das regras sobre as 30.000 transações: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1347"/>
        <w:gridCol w:w="1617"/>
        <w:gridCol w:w="1482"/>
        <w:gridCol w:w="1957"/>
      </w:tblGrid>
      <w:tr>
        <w:trPr>
          <w:cantSplit/>
          <w:tblHeader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do volume alertado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das fraudes alcançadas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Fraude dentro do grupo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Transações legítimas afetadas</w:t>
            </w:r>
          </w:p>
        </w:tc>
      </w:tr>
      <w:tr>
        <w:trPr>
          <w:cantSplit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R1: risk_score ≥ 80 (motor atual)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20,1%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26,6%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3,32%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5.833</w:t>
            </w:r>
          </w:p>
        </w:tc>
      </w:tr>
      <w:tr>
        <w:trPr>
          <w:cantSplit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R2: app + viagem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4,1%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13,2%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8,00%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1.138</w:t>
            </w:r>
          </w:p>
        </w:tc>
      </w:tr>
      <w:tr>
        <w:trPr>
          <w:cantSplit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R3: High-Risk no app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3,9%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21,6%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13,78%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1.014</w:t>
            </w:r>
          </w:p>
        </w:tc>
      </w:tr>
      <w:tr>
        <w:trPr>
          <w:cantSplit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R4: todo High-Risk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9,7%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37,5%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9,67%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2.633</w:t>
            </w:r>
          </w:p>
        </w:tc>
      </w:tr>
      <w:tr>
        <w:trPr>
          <w:cantSplit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R5: High-Risk ou app + viagem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13,4%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46,5%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8,67%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3.675</w:t>
            </w:r>
          </w:p>
        </w:tc>
      </w:tr>
      <w:tr>
        <w:trPr>
          <w:cantSplit/>
        </w:trPr>
        <w:tc>
          <w:tcPr>
            <w:tcW w:type="dxa" w:w="323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R6: High-Risk ou app + viagem ou app na madrugada</w:t>
            </w:r>
          </w:p>
        </w:tc>
        <w:tc>
          <w:tcPr>
            <w:tcW w:type="dxa" w:w="134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21,7%</w:t>
            </w:r>
          </w:p>
        </w:tc>
        <w:tc>
          <w:tcPr>
            <w:tcW w:type="dxa" w:w="161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b/>
                <w:bCs/>
                <w:color w:val="16212E"/>
                <w:sz w:val="18"/>
                <w:szCs w:val="18"/>
              </w:rPr>
              <w:t xml:space="preserve">56,7%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6,55%</w:t>
            </w:r>
          </w:p>
        </w:tc>
        <w:tc>
          <w:tcPr>
            <w:tcW w:type="dxa" w:w="195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6.075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60"/>
      </w:pPr>
      <w:r>
        <w:rPr>
          <w:b/>
          <w:bCs/>
        </w:rPr>
        <w:t xml:space="preserve">Insight.</w:t>
      </w:r>
      <w:r>
        <w:t xml:space="preserve"> Com volume alertado parecido (21,7% contra 20,1%), a regra R6 alcança </w:t>
      </w:r>
      <w:r>
        <w:rPr>
          <w:b/>
          <w:bCs/>
        </w:rPr>
        <w:t xml:space="preserve">mais que o dobro</w:t>
      </w:r>
      <w:r>
        <w:t xml:space="preserve"> das fraudes do motor atual (426 contra 200). O preço é pequeno: 242 transações legítimas a mais passam pela etapa extra (6.075 contra 5.833), enquanto a taxa de fraude dentro do grupo alertado quase dobra (6,55% contra 3,32%). O motor atual só tem algum efeito acima de 80 pontos e ignora exatamente os campos onde a fraude se concentra: canal, categoria, segmento e hora.</w:t>
      </w:r>
    </w:p>
    <w:p>
      <w:pPr>
        <w:keepNext w:val="false"/>
        <w:spacing w:after="100" w:before="60"/>
      </w:pPr>
      <w:r>
        <w:t xml:space="preserve">Há um segundo achado, sobre atrito: das 3.052 transações recusadas no ano, </w:t>
      </w:r>
      <w:r>
        <w:rPr>
          <w:b/>
          <w:bCs/>
        </w:rPr>
        <w:t xml:space="preserve">2.301 (75,4%) eram legítimas</w:t>
      </w:r>
      <w:r>
        <w:t xml:space="preserve">. Isso equivale a 7,87% de todas as transações legítimas. O custo de uma regra mal calibrada não é só a fraude que passa, é também o cliente bom que é barrado.</w:t>
      </w:r>
    </w:p>
    <w:p>
      <w:pPr>
        <w:keepNext w:val="false"/>
        <w:spacing w:after="100" w:before="60"/>
      </w:pPr>
      <w:r>
        <w:t xml:space="preserve">Limitação: as regras foram escolhidas olhando esta mesma base, então os percentuais tendem a ser otimistas. O modelo do bônus (Etapa 4), avaliado em dados que ele não viu no treino, alcançou 55,0% das fraudes nos 20% mais suspeitos, um resultado próximo ao da R6. Isso indica que o ganho não é artefato da escolha das regras.</w:t>
      </w:r>
    </w:p>
    <w:p>
      <w:pPr>
        <w:keepNext w:val="false"/>
        <w:spacing w:after="100" w:before="60"/>
      </w:pPr>
      <w:r>
        <w:rPr>
          <w:b/>
          <w:bCs/>
        </w:rPr>
        <w:t xml:space="preserve">Ação.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t xml:space="preserve">Levar ao comitê de risco a comparação R1 × R6.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t xml:space="preserve">Começar por um piloto de R3 (High-Risk no app), que afeta só 3,9% do volume e já alcança 21,6% das fraudes.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t xml:space="preserve">Ampliar para R6 depois de medir no piloto quantos clientes legítimos abandonam a transação na etapa extra.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t xml:space="preserve">Em paralelo, recalibrar o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risk_score</w:t>
      </w:r>
      <w:r>
        <w:t xml:space="preserve"> incluindo canal, categoria, segmento e período, que é o que o modelo da Etapa 4 faz.</w:t>
      </w:r>
    </w:p>
    <w:p>
      <w:pPr>
        <w:pStyle w:val="Heading3"/>
      </w:pPr>
      <w:r>
        <w:t xml:space="preserve">Onde cada análise aparece no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3"/>
        <w:gridCol w:w="6905"/>
      </w:tblGrid>
      <w:tr>
        <w:trPr>
          <w:cantSplit/>
          <w:tblHeader/>
        </w:trPr>
        <w:tc>
          <w:tcPr>
            <w:tcW w:type="dxa" w:w="273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Análise</w:t>
            </w:r>
          </w:p>
        </w:tc>
        <w:tc>
          <w:tcPr>
            <w:tcW w:type="dxa" w:w="690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 do dashboard</w:t>
            </w:r>
          </w:p>
        </w:tc>
      </w:tr>
      <w:tr>
        <w:trPr>
          <w:cantSplit/>
        </w:trPr>
        <w:tc>
          <w:tcPr>
            <w:tcW w:type="dxa" w:w="273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1. Segmentação</w:t>
            </w:r>
          </w:p>
        </w:tc>
        <w:tc>
          <w:tcPr>
            <w:tcW w:type="dxa" w:w="690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Gráfico "Taxa de fraude por segmento"; filtro de segmento em todos os blocos</w:t>
            </w:r>
          </w:p>
        </w:tc>
      </w:tr>
      <w:tr>
        <w:trPr>
          <w:cantSplit/>
        </w:trPr>
        <w:tc>
          <w:tcPr>
            <w:tcW w:type="dxa" w:w="273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2. Canal</w:t>
            </w:r>
          </w:p>
        </w:tc>
        <w:tc>
          <w:tcPr>
            <w:tcW w:type="dxa" w:w="690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Gráfico "Taxa de fraude por canal"; mapa canal × categoria</w:t>
            </w:r>
          </w:p>
        </w:tc>
      </w:tr>
      <w:tr>
        <w:trPr>
          <w:cantSplit/>
        </w:trPr>
        <w:tc>
          <w:tcPr>
            <w:tcW w:type="dxa" w:w="273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3. Categoria</w:t>
            </w:r>
          </w:p>
        </w:tc>
        <w:tc>
          <w:tcPr>
            <w:tcW w:type="dxa" w:w="690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Gráfico "Taxa de fraude por categoria"; mapa canal × categoria</w:t>
            </w:r>
          </w:p>
        </w:tc>
      </w:tr>
      <w:tr>
        <w:trPr>
          <w:cantSplit/>
        </w:trPr>
        <w:tc>
          <w:tcPr>
            <w:tcW w:type="dxa" w:w="273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4. Temporal</w:t>
            </w:r>
          </w:p>
        </w:tc>
        <w:tc>
          <w:tcPr>
            <w:tcW w:type="dxa" w:w="690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Tendência mensal; média móvel de 7 dias; mapa hora × dia da semana; filtro de período</w:t>
            </w:r>
          </w:p>
        </w:tc>
      </w:tr>
      <w:tr>
        <w:trPr>
          <w:cantSplit/>
        </w:trPr>
        <w:tc>
          <w:tcPr>
            <w:tcW w:type="dxa" w:w="2733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5. Pergunta própria</w:t>
            </w:r>
          </w:p>
        </w:tc>
        <w:tc>
          <w:tcPr>
            <w:tcW w:type="dxa" w:w="6905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Bloco "Onde aplicar autenticação extra": curva de captura com o ponto do motor atual e tabela acumulada; KPI de clientes legítimos recusados</w:t>
            </w:r>
          </w:p>
        </w:tc>
      </w:tr>
    </w:tbl>
    <w:p>
      <w:pPr>
        <w:spacing w:after="80" w:before="0"/>
      </w:pPr>
    </w:p>
    <w:p>
      <w:pPr>
        <w:pStyle w:val="Heading2"/>
        <w:pageBreakBefore/>
      </w:pPr>
      <w:r>
        <w:t xml:space="preserve">O dashboard</w:t>
      </w:r>
    </w:p>
    <w:p>
      <w:pPr>
        <w:spacing w:after="100" w:before="60"/>
      </w:pPr>
      <w:r>
        <w:t xml:space="preserve">O painel (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dashboard.html</w:t>
      </w:r>
      <w:r>
        <w:t xml:space="preserve">) abre com duplo clique, sem internet. As figuras abaixo mostram a versão entregue, sem filtros aplicados. Todos os blocos respondem aos filtros do topo, exceto a média móvel diária (só canal) e o mapa hora × dia da semana (visão da base inteira).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5943600" cy="3257550"/>
            <wp:effectExtent t="0" r="0" b="0" l="0"/>
            <wp:docPr id="1" name="dash1.png" descr="Figura 2 — Filtros, KPIs e bloco de tendência" title="Figura 2 — Filtros, KPIs e bloco de tend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776"/>
          <w:sz w:val="18"/>
          <w:szCs w:val="18"/>
        </w:rPr>
        <w:t xml:space="preserve">Figura 2 — Filtros, KPIs e bloco de tendência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5943600" cy="3495675"/>
            <wp:effectExtent t="0" r="0" b="0" l="0"/>
            <wp:docPr id="1" name="dash2.png" descr="Figura 3 — Bloco de composição: canal, categoria, segmento e mapa canal × categoria" title="Figura 3 — Bloco de composição: canal, categoria, segmento e mapa canal × categ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776"/>
          <w:sz w:val="18"/>
          <w:szCs w:val="18"/>
        </w:rPr>
        <w:t xml:space="preserve">Figura 3 — Bloco de composição: canal, categoria, segmento e mapa canal × categoria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5943600" cy="5248275"/>
            <wp:effectExtent t="0" r="0" b="0" l="0"/>
            <wp:docPr id="1" name="dash3.png" descr="Figura 4 — Padrão hora × dia da semana e bloco de detalhe &quot;Onde aplicar autenticação extra&quot;" title="Figura 4 — Padrão hora × dia da semana e bloco de detalhe &quot;Onde aplicar autenticação extr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776"/>
          <w:sz w:val="18"/>
          <w:szCs w:val="18"/>
        </w:rPr>
        <w:t xml:space="preserve">Figura 4 — Padrão hora × dia da semana e bloco de detalhe "Onde aplicar autenticação extra"</w:t>
      </w:r>
    </w:p>
    <w:p>
      <w:pPr>
        <w:pStyle w:val="Heading2"/>
        <w:pageBreakBefore/>
      </w:pPr>
      <w:r>
        <w:t xml:space="preserve">Ideia do BI</w:t>
      </w:r>
    </w:p>
    <w:p>
      <w:pPr>
        <w:keepNext w:val="false"/>
        <w:spacing w:after="100" w:before="60"/>
      </w:pP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dashboard.html</w:t>
      </w:r>
      <w:r>
        <w:t xml:space="preserve">. Abre com duplo clique, funciona sem internet e sem servidor, porque a biblioteca de gráficos e os dados da Gold vão embutidos no arquivo. É gerado por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dashboard.py</w:t>
      </w:r>
      <w:r>
        <w:t xml:space="preserve"> a partir de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bigdata_aval/gold/</w:t>
      </w:r>
      <w:r>
        <w:t xml:space="preserve">. A captura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dashboard_print.png</w:t>
      </w:r>
      <w:r>
        <w:t xml:space="preserve"> mostra a versão entregue.</w:t>
      </w:r>
    </w:p>
    <w:p>
      <w:pPr>
        <w:keepNext w:val="false"/>
        <w:spacing w:after="100" w:before="60"/>
      </w:pPr>
      <w:r>
        <w:rPr>
          <w:b/>
          <w:bCs/>
        </w:rPr>
        <w:t xml:space="preserve">Rota declarada:</w:t>
      </w:r>
      <w:r>
        <w:t xml:space="preserve"> sem admin (Plotly em HTML), no lugar do Metabase, que exige Docker com privilégio de administrador.</w:t>
      </w:r>
    </w:p>
    <w:p>
      <w:pPr>
        <w:pStyle w:val="Heading3"/>
      </w:pPr>
      <w:r>
        <w:t xml:space="preserve">O painel como produto</w:t>
      </w:r>
    </w:p>
    <w:p>
      <w:pPr>
        <w:keepNext w:val="false"/>
        <w:spacing w:after="100" w:before="60"/>
      </w:pPr>
      <w:r>
        <w:t xml:space="preserve">O painel não foi pensado como um conjunto de gráficos sobre fraude. Ele foi pensado para responder a uma pergunta operacional: </w:t>
      </w:r>
      <w:r>
        <w:rPr>
          <w:b/>
          <w:bCs/>
        </w:rPr>
        <w:t xml:space="preserve">em quais transações a TechPay deve pedir uma confirmação extra ao cliente, e quanto isso custa em atrito?</w:t>
      </w:r>
      <w:r>
        <w:t xml:space="preserve"> Tudo na tela serve a essa decisão.</w:t>
      </w:r>
    </w:p>
    <w:p>
      <w:pPr>
        <w:keepNext w:val="false"/>
        <w:spacing w:after="100" w:before="60"/>
      </w:pPr>
      <w:r>
        <w:t xml:space="preserve">Estrutura, de cima para baixo, seguindo a anatomia de 4 blocos da aula: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b/>
          <w:bCs/>
        </w:rPr>
        <w:t xml:space="preserve">Filtros</w:t>
      </w:r>
      <w:r>
        <w:t xml:space="preserve"> de canal, categoria, segmento, período do dia e mês. Valem para todos os blocos, exceto dois gráficos que indicam isso na própria legenda.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b/>
          <w:bCs/>
        </w:rPr>
        <w:t xml:space="preserve">KPIs.</w:t>
      </w:r>
      <w:r>
        <w:t xml:space="preserve"> São quatro números: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transações;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taxa de fraude, comparada com a taxa geral quando há filtro;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valor fraudado, com o ticket médio da fraude;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clientes legítimos recusados, com o percentual das recusas que eram legítimas.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b/>
          <w:bCs/>
        </w:rPr>
        <w:t xml:space="preserve">Tendência.</w:t>
      </w:r>
      <w:r>
        <w:t xml:space="preserve"> Taxa de fraude mês a mês sobre o volume, e a média móvel de 7 dias, com a taxa geral como linha de referência.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b/>
          <w:bCs/>
        </w:rPr>
        <w:t xml:space="preserve">Composição.</w:t>
      </w:r>
      <w:r>
        <w:t xml:space="preserve"> Taxa por canal, por categoria e por segmento, com cores que indicam acima ou abaixo da média; mapa canal × categoria; mapa hora × dia da semana.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b/>
          <w:bCs/>
        </w:rPr>
        <w:t xml:space="preserve">Detalhe navegável: "Onde aplicar autenticação extra".</w:t>
      </w:r>
      <w:r>
        <w:t xml:space="preserve"> As combinações de canal, categoria, segmento e período aparecem ordenadas da maior para a menor taxa. Um controle deslizante escolhe quanto do volume passaria pela etapa extra. O painel mostra, para essa escolha: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quantas fraudes seriam alcançadas;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qual a taxa de fraude dentro do grupo;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quantas transações legítimas passariam pela etapa extra;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no gráfico, onde está o motor atual (risk_score ≥ 80), para comparação.</w:t>
      </w:r>
    </w:p>
    <w:p>
      <w:pPr>
        <w:spacing w:after="60" w:before="20"/>
        <w:ind w:left="720"/>
      </w:pPr>
      <w:r>
        <w:t xml:space="preserve">Combinações com menos de 50 transações (valor ajustável) são reunidas num grupo mais amplo: primeiro juntando os períodos, depois as categorias, depois os canais. Assim o painel não premia grupos pequenos por acaso, e toda linha continua sendo uma regra que dá para aplicar (por exemplo, "App, Viagem, High-Risk, demais períodos").</w:t>
      </w:r>
    </w:p>
    <w:p>
      <w:pPr>
        <w:pStyle w:val="Heading3"/>
      </w:pPr>
      <w:r>
        <w:t xml:space="preserve">1. Para quem é o painel?</w:t>
      </w:r>
    </w:p>
    <w:p>
      <w:pPr>
        <w:keepNext w:val="false"/>
        <w:spacing w:after="100" w:before="60"/>
      </w:pPr>
      <w:r>
        <w:t xml:space="preserve">Para o </w:t>
      </w:r>
      <w:r>
        <w:rPr>
          <w:b/>
          <w:bCs/>
        </w:rPr>
        <w:t xml:space="preserve">comitê semanal de prevenção a fraudes</w:t>
      </w:r>
      <w:r>
        <w:t xml:space="preserve">, conduzido pelo gerente de prevenção a fraudes e com os analistas de risco. O analista usa os filtros e a tabela de detalhe para preparar a reunião; o gerente usa os KPIs, a curva e o texto-resumo para decidir.</w:t>
      </w:r>
    </w:p>
    <w:p>
      <w:pPr>
        <w:keepNext w:val="false"/>
        <w:spacing w:after="100" w:before="60"/>
      </w:pPr>
      <w:r>
        <w:t xml:space="preserve">Não foi desenhado para a diretoria nem para o atendimento: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a diretoria precisa de um resumo mensal de perdas, que cabe nos KPIs do topo, mas não de uma ferramenta de calibração de regras;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o atendimento precisa consultar uma transação específica de um cliente, o que exige dados por transação, e a Gold não guarda isso de propósito.</w:t>
      </w:r>
    </w:p>
    <w:p>
      <w:pPr>
        <w:pStyle w:val="Heading3"/>
      </w:pPr>
      <w:r>
        <w:t xml:space="preserve">2. Que decisão ele ajuda a tomar?</w:t>
      </w:r>
    </w:p>
    <w:p>
      <w:pPr>
        <w:keepNext w:val="false"/>
        <w:spacing w:after="100" w:before="60"/>
      </w:pPr>
      <w:r>
        <w:rPr>
          <w:b/>
          <w:bCs/>
        </w:rPr>
        <w:t xml:space="preserve">Quais combinações de canal, categoria, segmento e horário entram (ou saem) da regra de autenticação extra na próxima semana, e com que abrangência.</w:t>
      </w:r>
    </w:p>
    <w:p>
      <w:pPr>
        <w:keepNext w:val="false"/>
        <w:spacing w:after="100" w:before="60"/>
      </w:pPr>
      <w:r>
        <w:t xml:space="preserve">Um exemplo de uso com os dados de 2025: com o controle em 20%, os 51 grupos do topo somam 20,7% do volume e alcançam 63,1% das fraudes, enquanto o motor atual, com 20,1% do volume, alcança 26,6%. Esse número é calculado sobre a própria base e tende a ser otimista; o modelo da Etapa 4, avaliado fora da amostra, alcança 55,0% com 20% do volume. Ao mover o controle para 5% ou 10%, o comitê vê na hora quantas fraudes deixa de alcançar e quantos clientes legítimos deixa de incomodar. A escolha é negociada ali, com o número na tela.</w:t>
      </w:r>
    </w:p>
    <w:p>
      <w:pPr>
        <w:keepNext w:val="false"/>
        <w:spacing w:after="100" w:before="60"/>
      </w:pPr>
      <w:r>
        <w:t xml:space="preserve">Uma segunda decisão, mais lenta: </w:t>
      </w:r>
      <w:r>
        <w:rPr>
          <w:b/>
          <w:bCs/>
        </w:rPr>
        <w:t xml:space="preserve">se o motor de risco atual precisa ser recalibrado</w:t>
      </w:r>
      <w:r>
        <w:t xml:space="preserve">. O ponto verde do motor atual, muito abaixo da curva, é a evidência visual para isso.</w:t>
      </w:r>
    </w:p>
    <w:p>
      <w:pPr>
        <w:pStyle w:val="Heading3"/>
      </w:pPr>
      <w:r>
        <w:t xml:space="preserve">3. Por que esses KPIs, e o que foi descartado?</w:t>
      </w:r>
    </w:p>
    <w:p>
      <w:pPr>
        <w:keepNext w:val="false"/>
        <w:spacing w:after="100" w:before="60"/>
      </w:pPr>
      <w:r>
        <w:rPr>
          <w:b/>
          <w:bCs/>
        </w:rPr>
        <w:t xml:space="preserve">Os que ficaram: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Taxa de fraude</w:t>
      </w:r>
      <w:r>
        <w:t xml:space="preserve">, e não a quantidade de fraudes sozinha. A quantidade sobe e desce com o volume; a taxa permite comparar canais e segmentos de tamanhos muito diferentes (o app tem 4 vezes o volume do ATM).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Valor fraudado.</w:t>
      </w:r>
      <w:r>
        <w:t xml:space="preserve"> É a perda que o comitê precisa justificar, e mostra que a fraude pesa 2,29% do valor transacionado.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Clientes legítimos recusados.</w:t>
      </w:r>
      <w:r>
        <w:t xml:space="preserve"> É o custo do outro lado da balança. Nesta base, 75,4% das recusas foram de clientes legítimos. Sem esse número, o painel empurraria o comitê a apertar as regras indefinidamente.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Transações.</w:t>
      </w:r>
      <w:r>
        <w:t xml:space="preserve"> Dá a escala do recorte filtrado e evita conclusões sobre grupos pequenos.</w:t>
      </w:r>
    </w:p>
    <w:p>
      <w:pPr>
        <w:keepNext w:val="false"/>
        <w:spacing w:after="100" w:before="60"/>
      </w:pPr>
      <w:r>
        <w:rPr>
          <w:b/>
          <w:bCs/>
        </w:rPr>
        <w:t xml:space="preserve">Os que foram descartados, e por quê: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Ticket médio geral e faixa de valor.</w:t>
      </w:r>
      <w:r>
        <w:t xml:space="preserve"> O valor não separa fraude (AUC 0,496, igual a um sorteio), e o ticket médio da fraude (R$ 159) é parecido com o geral (R$ 174). O ticket da fraude aparece só como contexto no KPI de valor.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Credit score médio.</w:t>
      </w:r>
      <w:r>
        <w:t xml:space="preserve"> Não diferencia fraude nesta base (análise 1). Mostrá-lo induziria a regras erradas.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Risk score médio.</w:t>
      </w:r>
      <w:r>
        <w:t xml:space="preserve"> Separa fraude muito pouco (AUC 0,535). Em vez de um KPI, virou o ponto de comparação na curva.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Taxa por dia da semana e ranking de "piores dias do mês".</w:t>
      </w:r>
      <w:r>
        <w:t xml:space="preserve"> Planos nesta base (de 2,32% a 2,74%). O mapa hora × dia já mostra essa ausência de padrão sem ocupar um KPI.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Valor total transacionado como número principal.</w:t>
      </w:r>
      <w:r>
        <w:t xml:space="preserve"> É indicador comercial, não de risco. Ficou como linha de contexto sob o KPI de transações.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Total de fraudes por tipo de transação.</w:t>
      </w:r>
      <w:r>
        <w:t xml:space="preserve"> A diferença entre compra, saque, transferência e pagamento é pequena (2,38% a 2,72%). Entraria como ruído.</w:t>
      </w:r>
    </w:p>
    <w:p>
      <w:pPr>
        <w:pStyle w:val="Heading3"/>
      </w:pPr>
      <w:r>
        <w:t xml:space="preserve">4. Quem é o dono do painel?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Dono do negócio: o gerente de prevenção a fraudes.</w:t>
      </w:r>
      <w:r>
        <w:t xml:space="preserve"> Ele abre o painel toda segunda-feira, antes do comitê, e responde por duas perguntas: a regra de autenticação extra está alcançando as fraudes do recorte? O percentual de clientes legítimos recusados subiu? Quando a taxa de uma combinação que está fora da regra passa a ficar acima da taxa geral por semanas seguidas, é ele quem decide incluí-la.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Dono técnico: o analista de dados de risco.</w:t>
      </w:r>
      <w:r>
        <w:t xml:space="preserve"> Garante que o pipeline rodou (contagens do log batendo entre as camadas) e que a quarentena da Bronze está vazia ou tratada, antes de o painel ser atualizado.</w:t>
      </w:r>
    </w:p>
    <w:p>
      <w:pPr>
        <w:keepNext w:val="false"/>
        <w:spacing w:after="100" w:before="60"/>
      </w:pPr>
      <w:r>
        <w:t xml:space="preserve">Sem esses dois nomes definidos, o painel vira o "dashboard bonito que ninguém usa" discutido no dia 3 do curso.</w:t>
      </w:r>
    </w:p>
    <w:p>
      <w:pPr>
        <w:pStyle w:val="Heading1"/>
        <w:pageBreakBefore/>
      </w:pPr>
      <w:r>
        <w:t xml:space="preserve">Bônus — Modelo preditivo de fraude</w:t>
      </w:r>
    </w:p>
    <w:p>
      <w:pPr>
        <w:keepNext w:val="false"/>
        <w:spacing w:after="100" w:before="60"/>
      </w:pPr>
      <w:r>
        <w:rPr>
          <w:b/>
          <w:bCs/>
        </w:rPr>
        <w:t xml:space="preserve">Arquivos: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modelo_fraude.py</w:t>
      </w:r>
      <w:r>
        <w:t xml:space="preserve">: treino e avaliação em PySpark local (Rota B), lendo a Silver da Etapa 2.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resultados/metricas_log.txt</w:t>
      </w:r>
      <w:r>
        <w:t xml:space="preserve">: saída real da execução.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resultados/coeficientes.csv</w:t>
      </w:r>
      <w:r>
        <w:t xml:space="preserve">: coeficientes, razões de chance, intervalos de confiança e p-valores.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resultados/captura_top.csv</w:t>
      </w:r>
      <w:r>
        <w:t xml:space="preserve">: fraudes alcançadas nas transações mais suspeitas.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onsolas" w:cs="Consolas" w:eastAsia="Consolas" w:hAnsi="Consolas"/>
          <w:color w:val="0B2E59"/>
          <w:sz w:val="19"/>
          <w:szCs w:val="19"/>
        </w:rPr>
        <w:t xml:space="preserve">resultados/odds_ratios.png</w:t>
      </w:r>
      <w:r>
        <w:t xml:space="preserve">: gráfico dos efeitos.</w:t>
      </w:r>
    </w:p>
    <w:p>
      <w:pPr>
        <w:pStyle w:val="Heading2"/>
      </w:pPr>
      <w:r>
        <w:t xml:space="preserve">O que foi feito</w:t>
      </w:r>
    </w:p>
    <w:p>
      <w:pPr>
        <w:keepNext w:val="false"/>
        <w:spacing w:after="100" w:before="60"/>
      </w:pPr>
      <w:r>
        <w:t xml:space="preserve">Treinei uma Regressão Logística, o mesmo tipo de modelo do Lab 12, para estimar a probabilidade de cada transação ser fraude.</w:t>
      </w:r>
    </w:p>
    <w:p>
      <w:pPr>
        <w:keepNext w:val="false"/>
        <w:spacing w:after="100" w:before="60"/>
      </w:pPr>
      <w:r>
        <w:rPr>
          <w:b/>
          <w:bCs/>
        </w:rPr>
        <w:t xml:space="preserve">Variáveis de entrada.</w:t>
      </w:r>
      <w:r>
        <w:t xml:space="preserve"> Todas estavam disponíveis no momento da transação: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segmento, canal, categoria do estabelecimento e tipo de transação;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se a transação foi de madrugada;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t xml:space="preserve">risk score atual, credit score e valor.</w:t>
      </w:r>
    </w:p>
    <w:p>
      <w:pPr>
        <w:keepNext w:val="false"/>
        <w:spacing w:after="100" w:before="60"/>
      </w:pPr>
      <w:r>
        <w:rPr>
          <w:b/>
          <w:bCs/>
        </w:rPr>
        <w:t xml:space="preserve">Divisão dos dados.</w:t>
      </w:r>
      <w:r>
        <w:t xml:space="preserve"> 80% para treino e 20% para teste, com semente fixa (42) para o resultado ser reproduzível. Ficaram 24.032 transações de treino (602 fraudes) e 5.968 de teste (149 fraudes). Todas as métricas abaixo são do teste, ou seja, de transações que o modelo não viu no treino.</w:t>
      </w:r>
    </w:p>
    <w:p>
      <w:pPr>
        <w:pStyle w:val="Heading2"/>
      </w:pPr>
      <w:r>
        <w:t xml:space="preserve">Decisões e por quê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b/>
          <w:bCs/>
        </w:rPr>
        <w:t xml:space="preserve">O status ficou de fora.</w:t>
      </w:r>
      <w:r>
        <w:t xml:space="preserve"> Na Bronze (Etapa 2), constatei que 100% das fraudes estão como "declined". O status é, na prática, uma consequência do rótulo. Com ele, o modelo "acertaria" copiando a resposta, e a métrica pareceria excelente sem servir para nada: no momento de decidir se a transação é suspeita, o status ainda não existe.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b/>
          <w:bCs/>
        </w:rPr>
        <w:t xml:space="preserve">Categorias com referência explícita.</w:t>
      </w:r>
      <w:r>
        <w:t xml:space="preserve"> No Lab 12, o segmento virou um número único (0, 1, 2), o que obriga o modelo a supor que o risco cresce em degraus iguais. Aqui, cada categoria virou uma variável de sim ou não, comparada a uma referência escolhida: Premium, POS, varejo, compra e fora da madrugada. Assim cada coeficiente responde "quanto o risco muda em relação à referência". A madrugada segue a convenção da Silver (0h a 5h59).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b/>
          <w:bCs/>
        </w:rPr>
        <w:t xml:space="preserve">Escalas legíveis.</w:t>
      </w:r>
      <w:r>
        <w:t xml:space="preserve"> O risk score entra em blocos de 10 pontos e o credit score em blocos de 100. O valor entra em logaritmo, porque a distribuição é muito assimétrica.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b/>
          <w:bCs/>
        </w:rPr>
        <w:t xml:space="preserve">Sem regularização.</w:t>
      </w:r>
      <w:r>
        <w:t xml:space="preserve"> Deixei o modelo sem penalização para os coeficientes poderem ser interpretados diretamente. Para obter os p-valores, ajustei o mesmo modelo como GLM binomial no Spark; os coeficientes das duas versões são idênticos (diferença máxima de 0,0000).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b/>
          <w:bCs/>
        </w:rPr>
        <w:t xml:space="preserve">Métricas adequadas a evento raro.</w:t>
      </w:r>
      <w:r>
        <w:t xml:space="preserve"> Com 2,5% de fraude, um modelo que diz "nunca é fraude" acerta 97,5% das vezes. Por isso não usei acurácia. Usei: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a </w:t>
      </w:r>
      <w:r>
        <w:rPr>
          <w:b/>
          <w:bCs/>
        </w:rPr>
        <w:t xml:space="preserve">AUC-ROC</w:t>
      </w:r>
      <w:r>
        <w:t xml:space="preserve">, que mede se as fraudes recebem probabilidade maior que as legítimas;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a </w:t>
      </w:r>
      <w:r>
        <w:rPr>
          <w:b/>
          <w:bCs/>
        </w:rPr>
        <w:t xml:space="preserve">AUC-PR</w:t>
      </w:r>
      <w:r>
        <w:t xml:space="preserve">, mais exigente em eventos raros;</w:t>
      </w:r>
    </w:p>
    <w:p>
      <w:pPr>
        <w:pStyle w:val="ListParagraph"/>
        <w:numPr>
          <w:ilvl w:val="1"/>
          <w:numId w:val="3"/>
        </w:numPr>
        <w:spacing w:after="40" w:before="20"/>
      </w:pPr>
      <w:r>
        <w:t xml:space="preserve">a </w:t>
      </w:r>
      <w:r>
        <w:rPr>
          <w:b/>
          <w:bCs/>
        </w:rPr>
        <w:t xml:space="preserve">captura no topo</w:t>
      </w:r>
      <w:r>
        <w:t xml:space="preserve">: quantas fraudes aparecem entre as X% transações com maior probabilidade.</w:t>
      </w:r>
    </w:p>
    <w:p>
      <w:pPr>
        <w:pStyle w:val="Heading2"/>
      </w:pPr>
      <w:r>
        <w:t xml:space="preserve">Resultado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1482"/>
        <w:gridCol w:w="3892"/>
        <w:gridCol w:w="1484"/>
      </w:tblGrid>
      <w:tr>
        <w:trPr>
          <w:cantSplit/>
          <w:tblHeader/>
        </w:trPr>
        <w:tc>
          <w:tcPr>
            <w:tcW w:type="dxa" w:w="2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 (teste)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89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Só o risk_score atual</w:t>
            </w:r>
          </w:p>
        </w:tc>
        <w:tc>
          <w:tcPr>
            <w:tcW w:type="dxa" w:w="148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Sorteio</w:t>
            </w:r>
          </w:p>
        </w:tc>
      </w:tr>
      <w:tr>
        <w:trPr>
          <w:cantSplit/>
        </w:trPr>
        <w:tc>
          <w:tcPr>
            <w:tcW w:type="dxa" w:w="2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AUC-ROC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16212E"/>
                <w:sz w:val="18"/>
                <w:szCs w:val="18"/>
              </w:rPr>
              <w:t xml:space="preserve">0,782</w:t>
            </w:r>
          </w:p>
        </w:tc>
        <w:tc>
          <w:tcPr>
            <w:tcW w:type="dxa" w:w="389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0,546</w:t>
            </w:r>
          </w:p>
        </w:tc>
        <w:tc>
          <w:tcPr>
            <w:tcW w:type="dxa" w:w="148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0,500</w:t>
            </w:r>
          </w:p>
        </w:tc>
      </w:tr>
      <w:tr>
        <w:trPr>
          <w:cantSplit/>
        </w:trPr>
        <w:tc>
          <w:tcPr>
            <w:tcW w:type="dxa" w:w="27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AUC-PR</w:t>
            </w:r>
          </w:p>
        </w:tc>
        <w:tc>
          <w:tcPr>
            <w:tcW w:type="dxa" w:w="148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b/>
                <w:bCs/>
                <w:color w:val="16212E"/>
                <w:sz w:val="18"/>
                <w:szCs w:val="18"/>
              </w:rPr>
              <w:t xml:space="preserve">0,096</w:t>
            </w:r>
          </w:p>
        </w:tc>
        <w:tc>
          <w:tcPr>
            <w:tcW w:type="dxa" w:w="389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0,031</w:t>
            </w:r>
          </w:p>
        </w:tc>
        <w:tc>
          <w:tcPr>
            <w:tcW w:type="dxa" w:w="1484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0,025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3130"/>
        <w:gridCol w:w="2802"/>
      </w:tblGrid>
      <w:tr>
        <w:trPr>
          <w:cantSplit/>
          <w:tblHeader/>
        </w:trPr>
        <w:tc>
          <w:tcPr>
            <w:tcW w:type="dxa" w:w="37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Transações revisadas (maiores probabilidades)</w:t>
            </w:r>
          </w:p>
        </w:tc>
        <w:tc>
          <w:tcPr>
            <w:tcW w:type="dxa" w:w="31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Fraudes alcançadas pelo modelo</w:t>
            </w:r>
          </w:p>
        </w:tc>
        <w:tc>
          <w:tcPr>
            <w:tcW w:type="dxa" w:w="280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Fraudes alcançadas pelo risk_score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5% (298)</w:t>
            </w:r>
          </w:p>
        </w:tc>
        <w:tc>
          <w:tcPr>
            <w:tcW w:type="dxa" w:w="31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36, ou 24,2% (fraude no grupo: 12,08%)</w:t>
            </w:r>
          </w:p>
        </w:tc>
        <w:tc>
          <w:tcPr>
            <w:tcW w:type="dxa" w:w="280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12, ou 8,1% (4,03%)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10% (597)</w:t>
            </w:r>
          </w:p>
        </w:tc>
        <w:tc>
          <w:tcPr>
            <w:tcW w:type="dxa" w:w="31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58, ou 38,9% (9,72%)</w:t>
            </w:r>
          </w:p>
        </w:tc>
        <w:tc>
          <w:tcPr>
            <w:tcW w:type="dxa" w:w="280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29, ou 19,5% (4,86%)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20% (1.194)</w:t>
            </w:r>
          </w:p>
        </w:tc>
        <w:tc>
          <w:tcPr>
            <w:tcW w:type="dxa" w:w="313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82, ou </w:t>
            </w:r>
            <w:r>
              <w:rPr>
                <w:b/>
                <w:bCs/>
                <w:color w:val="16212E"/>
                <w:sz w:val="18"/>
                <w:szCs w:val="18"/>
              </w:rPr>
              <w:t xml:space="preserve">55,0%</w:t>
            </w:r>
            <w:r>
              <w:rPr>
                <w:color w:val="16212E"/>
                <w:sz w:val="18"/>
                <w:szCs w:val="18"/>
              </w:rPr>
              <w:t xml:space="preserve"> (6,87%)</w:t>
            </w:r>
          </w:p>
        </w:tc>
        <w:tc>
          <w:tcPr>
            <w:tcW w:type="dxa" w:w="280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40, ou 26,8% (3,35%)</w:t>
            </w:r>
          </w:p>
        </w:tc>
      </w:tr>
    </w:tbl>
    <w:p>
      <w:pPr>
        <w:spacing w:after="80" w:before="0"/>
      </w:pPr>
    </w:p>
    <w:p>
      <w:pPr>
        <w:keepNext w:val="false"/>
        <w:spacing w:after="100" w:before="60"/>
      </w:pPr>
      <w:r>
        <w:t xml:space="preserve">Revisando 20% das transações, o modelo alcança o dobro das fraudes do score atual. Esse resultado, obtido fora da amostra de treino, é próximo ao da regra R6 da Etapa 3 (56,7% com 21,7% do volume). Isso confirma que o ganho das regras não foi um acaso da escolha feita sobre a própria base.</w:t>
      </w:r>
    </w:p>
    <w:p>
      <w:pPr>
        <w:pStyle w:val="Heading2"/>
      </w:pPr>
      <w:r>
        <w:t xml:space="preserve">Interpretação dos coeficientes</w:t>
      </w:r>
    </w:p>
    <w:p>
      <w:pPr>
        <w:keepNext w:val="false"/>
        <w:spacing w:after="100" w:before="60"/>
      </w:pPr>
      <w:r>
        <w:t xml:space="preserve">A razão de chances (odds ratio) é o exponencial do coeficiente. Valor 1 significa sem efeito, 2 significa o dobro da chance de fraude em relação à referência. Todos os valores são do treino, com intervalo de confiança de 95%.</w:t>
      </w:r>
    </w:p>
    <w:p>
      <w:pPr>
        <w:keepNext w:val="false"/>
        <w:spacing w:after="100" w:before="60"/>
      </w:pPr>
      <w:r>
        <w:rPr>
          <w:b/>
          <w:bCs/>
        </w:rPr>
        <w:t xml:space="preserve">Efeitos fortes e claros (p &lt; 0,001):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Segmento High-Risk: 11,4</w:t>
      </w:r>
      <w:r>
        <w:t xml:space="preserve"> (IC 9,1 a 14,2). Com canal, categoria e horário iguais, um cliente High-Risk tem cerca de 11 vezes a chance de fraude de um Premium. É o maior efeito do modelo, coerente com a análise 1.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Segmento Standard: 2,9</w:t>
      </w:r>
      <w:r>
        <w:t xml:space="preserve"> (IC 2,3 a 3,6) em relação ao Premium.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Canal app: 2,9</w:t>
      </w:r>
      <w:r>
        <w:t xml:space="preserve"> (IC 2,2 a 3,8) em relação ao POS. Web (1,37) e ATM (1,47) ficam pouco acima do POS, com p entre 0,04 e 0,05. O app é o único canal com efeito expressivo, como na análise 2.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Categoria viagem: 2,6</w:t>
      </w:r>
      <w:r>
        <w:t xml:space="preserve"> (IC 2,0 a 3,3) em relação ao varejo.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Madrugada: 1,6</w:t>
      </w:r>
      <w:r>
        <w:t xml:space="preserve"> (IC 1,3 a 1,9).</w:t>
      </w:r>
    </w:p>
    <w:p>
      <w:pPr>
        <w:keepNext w:val="false"/>
        <w:spacing w:after="100" w:before="60"/>
      </w:pPr>
      <w:r>
        <w:t xml:space="preserve">As outras categorias (saúde, alimentação, serviços, eletrônico) têm intervalos que cruzam o 1: não diferem do varejo. O mesmo vale para o tipo de transação (saque, transferência, pagamento).</w:t>
      </w:r>
    </w:p>
    <w:p>
      <w:pPr>
        <w:keepNext w:val="false"/>
        <w:spacing w:after="100" w:before="60"/>
      </w:pPr>
      <w:r>
        <w:rPr>
          <w:b/>
          <w:bCs/>
        </w:rPr>
        <w:t xml:space="preserve">Efeitos pequenos: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Risk score: 1,04 a cada 10 pontos</w:t>
      </w:r>
      <w:r>
        <w:t xml:space="preserve"> (p = 0,013). Estatisticamente existe, mas é mínimo: de 0 a 100 pontos, a chance aumenta cerca de 45%, enquanto o segmento sozinho multiplica por 11. A análise 5 mostra que esse efeito se concentra acima de 80 pontos, e uma reta não captura bem esse comportamento.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Credit score: 1,10 a cada 100 pontos</w:t>
      </w:r>
      <w:r>
        <w:t xml:space="preserve"> (p = 0,004). O sinal vai no sentido oposto ao intuitivo (score maior, um pouco mais de fraude) e o tamanho é pequeno. Com 17 variáveis testadas, é esperado que algum efeito pequeno apareça por acaso. A variável foi </w:t>
      </w:r>
      <w:r>
        <w:rPr>
          <w:b/>
          <w:bCs/>
        </w:rPr>
        <w:t xml:space="preserve">mantida</w:t>
      </w:r>
      <w:r>
        <w:t xml:space="preserve"> no modelo: retirá-la só porque o resultado contraria a intuição seria ajustar o modelo ao resultado desejado. A conclusão prática, somada à análise 1, é não usar o credit score como critério de fraude.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Valor: 0,98 por unidade do logaritmo, ou 0,99 ao dobrar o valor</w:t>
      </w:r>
      <w:r>
        <w:t xml:space="preserve"> (p = 0,64). Sem efeito: fraudes e transações legítimas têm valores parecidos.</w:t>
      </w:r>
    </w:p>
    <w:p>
      <w:pPr>
        <w:keepNext w:val="false"/>
        <w:spacing w:after="100" w:before="60"/>
      </w:pPr>
      <w:r>
        <w:rPr>
          <w:b/>
          <w:bCs/>
        </w:rPr>
        <w:t xml:space="preserve">Leitura de negócio.</w:t>
      </w:r>
      <w:r>
        <w:t xml:space="preserve"> O modelo confirma, com os efeitos separados uns dos outros, o que as análises descritivas mostraram: </w:t>
      </w:r>
      <w:r>
        <w:rPr>
          <w:b/>
          <w:bCs/>
        </w:rPr>
        <w:t xml:space="preserve">quem</w:t>
      </w:r>
      <w:r>
        <w:t xml:space="preserve"> (segmento), </w:t>
      </w:r>
      <w:r>
        <w:rPr>
          <w:b/>
          <w:bCs/>
        </w:rPr>
        <w:t xml:space="preserve">por onde</w:t>
      </w:r>
      <w:r>
        <w:t xml:space="preserve"> (app), </w:t>
      </w:r>
      <w:r>
        <w:rPr>
          <w:b/>
          <w:bCs/>
        </w:rPr>
        <w:t xml:space="preserve">em quê</w:t>
      </w:r>
      <w:r>
        <w:t xml:space="preserve"> (viagem) e </w:t>
      </w:r>
      <w:r>
        <w:rPr>
          <w:b/>
          <w:bCs/>
        </w:rPr>
        <w:t xml:space="preserve">quando</w:t>
      </w:r>
      <w:r>
        <w:t xml:space="preserve"> (madrugada). Esses quatro fatores explicam a fraude muito melhor que o score atual, o valor ou o credit score.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676775" cy="3800475"/>
            <wp:effectExtent t="0" r="0" b="0" l="0"/>
            <wp:docPr id="1" name="odds_ratios.png" descr="Figura 5 — Razão de chances de cada variável, com intervalo de confiança de 95% (escala logarítmica)" title="Figura 5 — Razão de chances de cada variável, com intervalo de confiança de 95% (escala logarítm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776"/>
          <w:sz w:val="18"/>
          <w:szCs w:val="18"/>
        </w:rPr>
        <w:t xml:space="preserve">Figura 5 — Razão de chances de cada variável, com intervalo de confiança de 95% (escala logarítmica)</w:t>
      </w:r>
    </w:p>
    <w:p>
      <w:pPr>
        <w:pStyle w:val="Heading2"/>
      </w:pPr>
      <w:r>
        <w:t xml:space="preserve">Limitações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Dados sintéticos.</w:t>
      </w:r>
      <w:r>
        <w:t xml:space="preserve"> Os efeitos recuperados ficam próximos dos multiplicadores do gerador do professor. O exercício valida o método, não a realidade de uma fintech.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Efeitos independentes.</w:t>
      </w:r>
      <w:r>
        <w:t xml:space="preserve"> O modelo assume que cada fator se soma aos outros. Interações como "app e viagem juntos" não foram incluídas como termo próprio.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Uma única divisão treino/teste.</w:t>
      </w:r>
      <w:r>
        <w:t xml:space="preserve"> Com 149 fraudes no teste, as métricas têm margem de erro relevante. Uma validação cruzada daria uma estimativa mais estável.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b/>
          <w:bCs/>
        </w:rPr>
        <w:t xml:space="preserve">Probabilidades não calibradas para decisão.</w:t>
      </w:r>
      <w:r>
        <w:t xml:space="preserve"> O limite de corte deve ser escolhido pelo comitê pelo volume aceitável de transações revisadas, como na curva do dashboard, e não pelo limite padrão de 0,5: num evento de 2,5%, as probabilidades raramente passam desse valor, e praticamente nenhuma transação seria marcada.</w:t>
      </w:r>
    </w:p>
    <w:p>
      <w:pPr>
        <w:pStyle w:val="Heading1"/>
        <w:pageBreakBefore/>
      </w:pPr>
      <w:r>
        <w:t xml:space="preserve">Anexo — Estrutura do repositório e reprodução</w:t>
      </w:r>
    </w:p>
    <w:p>
      <w:pPr>
        <w:spacing w:after="100" w:before="60"/>
      </w:pPr>
      <w:r>
        <w:t xml:space="preserve">O repositório reúne os 12 labs (pastas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dia1_fundamentos/</w:t>
      </w:r>
      <w:r>
        <w:t xml:space="preserve">,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dia2_transformacao/</w:t>
      </w:r>
      <w:r>
        <w:t xml:space="preserve"> e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dia3_insights_bi/</w:t>
      </w:r>
      <w:r>
        <w:t xml:space="preserve">) e a avaliação final (pasta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avaliacao_final/</w:t>
      </w:r>
      <w:r>
        <w:t xml:space="preserve">). A tabela abaixo descreve os arquivos da avaliação.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0"/>
        <w:gridCol w:w="1649"/>
        <w:gridCol w:w="4169"/>
      </w:tblGrid>
      <w:tr>
        <w:trPr>
          <w:cantSplit/>
          <w:tblHeader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2E5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rodar_tudo.sh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script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Executa toda a avaliação em sequência: base, diagrama, pipeline, teste, análises, dashboard e modelo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etapa1_arquitetura/desenha_diagrama.py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Desenha o diagrama (SVG e PNG)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etapa1_arquitetura/justificativa.md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Texto da Etapa 1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etapa2_bigdata/generate_avaliacao_dataset.py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 do professor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Gera a base de 30.000 transações (semente 123)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etapa2_bigdata/pipeline.py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Ingestão, raw, particionamento, Bronze, Silver e Gold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etapa2_bigdata/teste_regras_bronze.py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Injeta 12 linhas sujas numa cópia da base e confere o tratamento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etapa2_bigdata/evidencias/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saída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Logs reais da execução e do teste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etapa2_bigdata/explicacao.md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Texto da Etapa 2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etapa3_analise/analises.py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As cinco análises e a simulação de regras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etapa3_analise/resultados/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saída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Tabelas de cada análise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etapa3_analise/dashboard.py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Gera o painel a partir da Gold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etapa3_analise/dashboard.html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saída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Painel interativo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etapa3_analise/achados.md</w:t>
            </w:r>
            <w:r>
              <w:rPr>
                <w:color w:val="16212E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ideia_bi.md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Textos da Etapa 3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etapa4_ml/modelo_fraude.py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código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Regressão logística em PySpark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etapa4_ml/resultados/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saída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Métricas, coeficientes e gráfico</w:t>
            </w:r>
          </w:p>
        </w:tc>
      </w:tr>
      <w:tr>
        <w:trPr>
          <w:cantSplit/>
        </w:trPr>
        <w:tc>
          <w:tcPr>
            <w:tcW w:type="dxa" w:w="38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rFonts w:ascii="Consolas" w:cs="Consolas" w:eastAsia="Consolas" w:hAnsi="Consolas"/>
                <w:color w:val="0B2E59"/>
                <w:sz w:val="16"/>
                <w:szCs w:val="16"/>
              </w:rPr>
              <w:t xml:space="preserve">etapa4_ml/explicacao.md</w:t>
            </w:r>
          </w:p>
        </w:tc>
        <w:tc>
          <w:tcPr>
            <w:tcW w:type="dxa" w:w="164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169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/>
            </w:pPr>
            <w:r>
              <w:rPr>
                <w:color w:val="16212E"/>
                <w:sz w:val="18"/>
                <w:szCs w:val="18"/>
              </w:rPr>
              <w:t xml:space="preserve">Texto do bônus</w:t>
            </w:r>
          </w:p>
        </w:tc>
      </w:tr>
    </w:tbl>
    <w:p>
      <w:pPr>
        <w:spacing w:before="200"/>
      </w:pPr>
    </w:p>
    <w:p>
      <w:pPr>
        <w:spacing w:after="100" w:before="60"/>
      </w:pPr>
      <w:r>
        <w:rPr>
          <w:b/>
          <w:bCs/>
        </w:rPr>
        <w:t xml:space="preserve">Reprodução.</w:t>
      </w:r>
      <w:r>
        <w:t xml:space="preserve"> Com Python 3.10 ou superior e Java 17 ou superior instalados, basta instalar as bibliotecas listadas em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requirements.txt</w:t>
      </w:r>
      <w:r>
        <w:t xml:space="preserve"> e executar o script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rodar_tudo.sh</w:t>
      </w:r>
      <w:r>
        <w:t xml:space="preserve"> a partir da raiz do repositório. A execução completa leva poucos minutos e recria todas as camadas, tabelas, o dashboard e o modelo. Como a base é gerada com semente fixa, os números obtidos são idênticos aos deste relatório; essa reprodução foi verificada numa cópia limpa do repositório.</w:t>
      </w:r>
    </w:p>
    <w:p>
      <w:pPr>
        <w:spacing w:after="100" w:before="60"/>
      </w:pPr>
      <w:r>
        <w:rPr>
          <w:b/>
          <w:bCs/>
        </w:rPr>
        <w:t xml:space="preserve">Arquivos não versionados.</w:t>
      </w:r>
      <w:r>
        <w:t xml:space="preserve"> Os CSVs e os Parquets das camadas não vão para o Git (ver </w:t>
      </w:r>
      <w:r>
        <w:rPr>
          <w:rFonts w:ascii="Consolas" w:cs="Consolas" w:eastAsia="Consolas" w:hAnsi="Consolas"/>
          <w:color w:val="0B2E59"/>
          <w:sz w:val="19"/>
          <w:szCs w:val="19"/>
        </w:rPr>
        <w:t xml:space="preserve">.gitignore</w:t>
      </w:r>
      <w:r>
        <w:t xml:space="preserve">), porque são recriados pelos scripts. As exceções são as tabelas pequenas de resultado das análises e do modelo.</w:t>
      </w:r>
    </w:p>
    <w:sectPr>
      <w:headerReference w:type="default" r:id="rId11"/>
      <w:footerReference w:type="default" r:id="rId12"/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6"/>
        <w:sz w:val="16"/>
        <w:szCs w:val="16"/>
      </w:rPr>
      <w:t xml:space="preserve">Avaliação Final — Big Data para Negócios · Vitor Dantas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6"/>
        <w:sz w:val="16"/>
        <w:szCs w:val="16"/>
      </w:rPr>
      <w:t xml:space="preserve">Avaliação Final — Big Data para Negócios · Vitor Dantas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6"/>
        <w:sz w:val="16"/>
        <w:szCs w:val="16"/>
      </w:rPr>
      <w:t xml:space="preserve">Avaliação Final — Big Data para Negócios · Vitor Dantas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E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860B" w:sz="12" w:space="4"/>
      </w:pBdr>
      <w:spacing w:after="200" w:before="120"/>
      <w:outlineLvl w:val="0"/>
    </w:pPr>
    <w:rPr>
      <w:rFonts w:ascii="Calibri" w:cs="Calibri" w:eastAsia="Calibri" w:hAnsi="Calibri"/>
      <w:b/>
      <w:bCs/>
      <w:color w:val="0B2E5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0B2E5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1E5631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160"/>
      <w:outlineLvl w:val="3"/>
    </w:pPr>
    <w:rPr>
      <w:rFonts w:ascii="Calibri" w:cs="Calibri" w:eastAsia="Calibri" w:hAnsi="Calibri"/>
      <w:b/>
      <w:bCs/>
      <w:color w:val="1621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d91164666ad913e3b75b8d40c4595346a80fb2f9.png"/><Relationship Id="rId14" Type="http://schemas.openxmlformats.org/officeDocument/2006/relationships/image" Target="media/e055ce19d0d12e084c425876454cce25ce12637f.png"/><Relationship Id="rId15" Type="http://schemas.openxmlformats.org/officeDocument/2006/relationships/image" Target="media/08052dac1da3063907e58612d10891576a581562.png"/><Relationship Id="rId16" Type="http://schemas.openxmlformats.org/officeDocument/2006/relationships/image" Target="media/3ec6537e51b73dc58a9061d2e495c0d4bac330c4.png"/><Relationship Id="rId17" Type="http://schemas.openxmlformats.org/officeDocument/2006/relationships/image" Target="media/1a0f75bfbc599058b90332e61872fddeea070f5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Final — Big Data para Negócios</dc:title>
  <dc:creator>Vitor Dantas</dc:creator>
  <cp:lastModifiedBy>Un-named</cp:lastModifiedBy>
  <cp:revision>1</cp:revision>
  <dcterms:created xsi:type="dcterms:W3CDTF">2026-09-17T01:10:08.639Z</dcterms:created>
  <dcterms:modified xsi:type="dcterms:W3CDTF">2026-09-17T01:10:08.639Z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