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left"/>
      </w:pPr>
      <w:r>
        <w:rPr>
          <w:b/>
          <w:bCs/>
          <w:color w:val="7F7F7F"/>
          <w:sz w:val="22"/>
          <w:szCs w:val="22"/>
        </w:rPr>
        <w:t xml:space="preserve">PROJECT 8  |  INDUSTRIAL ENGINEERING AND MANAGEMENT</w:t>
      </w:r>
    </w:p>
    <w:p>
      <w:pPr>
        <w:spacing w:after="120"/>
      </w:pPr>
      <w:r>
        <w:rPr>
          <w:b/>
          <w:bCs/>
          <w:color w:val="1F4E79"/>
          <w:sz w:val="96"/>
          <w:szCs w:val="96"/>
        </w:rPr>
        <w:t xml:space="preserve">GreenEIS</w:t>
      </w:r>
    </w:p>
    <w:p>
      <w:pPr>
        <w:pBdr>
          <w:bottom w:val="single" w:color="1F4E79" w:sz="12" w:space="8"/>
        </w:pBdr>
        <w:spacing w:after="360"/>
      </w:pPr>
      <w:r>
        <w:rPr>
          <w:color w:val="404040"/>
          <w:sz w:val="36"/>
          <w:szCs w:val="36"/>
        </w:rPr>
        <w:t xml:space="preserve">Green Enterprise Information System for Sustainability Analytics</w:t>
      </w:r>
    </w:p>
    <w:p>
      <w:pPr>
        <w:spacing w:after="100"/>
      </w:pPr>
      <w:r>
        <w:rPr>
          <w:b/>
          <w:bCs/>
          <w:sz w:val="28"/>
          <w:szCs w:val="28"/>
        </w:rPr>
        <w:t xml:space="preserve">Research Evidence Base, Data Compendium and System Design Reference</w:t>
      </w:r>
    </w:p>
    <w:p>
      <w:pPr>
        <w:spacing w:after="600" w:line="288"/>
        <w:jc w:val="left"/>
      </w:pPr>
      <w:r>
        <w:rPr>
          <w:color w:val="404040"/>
          <w:sz w:val="22"/>
          <w:szCs w:val="22"/>
        </w:rPr>
        <w:t xml:space="preserve">A source-referenced reference document for emissions, energy and cost analytics for small and informal manufacturing units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20"/>
                <w:szCs w:val="20"/>
              </w:rPr>
              <w:t xml:space="preserve">Item</w:t>
            </w:r>
          </w:p>
        </w:tc>
        <w:tc>
          <w:tcPr>
            <w:tcW w:type="dxa" w:w="68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20"/>
                <w:szCs w:val="20"/>
              </w:rPr>
              <w:t xml:space="preserve">Detail</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20"/>
                <w:szCs w:val="20"/>
              </w:rPr>
              <w:t xml:space="preserve">Prepared by</w:t>
            </w:r>
          </w:p>
        </w:tc>
        <w:tc>
          <w:tcPr>
            <w:tcW w:type="dxa" w:w="68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20"/>
                <w:szCs w:val="20"/>
              </w:rPr>
              <w:t xml:space="preserve">[Student name / roll number]</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20"/>
                <w:szCs w:val="20"/>
              </w:rPr>
              <w:t xml:space="preserve">Course / guide</w:t>
            </w:r>
          </w:p>
        </w:tc>
        <w:tc>
          <w:tcPr>
            <w:tcW w:type="dxa" w:w="68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20"/>
                <w:szCs w:val="20"/>
              </w:rPr>
              <w:t xml:space="preserve">[Course name / faculty guide]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20"/>
                <w:szCs w:val="20"/>
              </w:rPr>
              <w:t xml:space="preserve">Institution</w:t>
            </w:r>
          </w:p>
        </w:tc>
        <w:tc>
          <w:tcPr>
            <w:tcW w:type="dxa" w:w="68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20"/>
                <w:szCs w:val="20"/>
              </w:rPr>
              <w:t xml:space="preserve">[College name]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20"/>
                <w:szCs w:val="20"/>
              </w:rPr>
              <w:t xml:space="preserve">Compiled on</w:t>
            </w:r>
          </w:p>
        </w:tc>
        <w:tc>
          <w:tcPr>
            <w:tcW w:type="dxa" w:w="68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20"/>
                <w:szCs w:val="20"/>
              </w:rPr>
              <w:t xml:space="preserve">25 October 2026</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20"/>
                <w:szCs w:val="20"/>
              </w:rPr>
              <w:t xml:space="preserve">Evidence base</w:t>
            </w:r>
          </w:p>
        </w:tc>
        <w:tc>
          <w:tcPr>
            <w:tcW w:type="dxa" w:w="68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20"/>
                <w:szCs w:val="20"/>
              </w:rPr>
              <w:t xml:space="preserve">Uploaded CSTEP (2018) report; project explanation note; CEEW (2018) issue brief; Down To Earth (2022); CSTEP MSME decarbonisation project and 2024 report; supporting peer-reviewed and technical literature (Source Register, Section 11)</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B" w:color="auto" w:val="clear"/>
            <w:tcMar>
              <w:top w:type="dxa" w:w="100"/>
              <w:left w:type="dxa" w:w="160"/>
              <w:bottom w:type="dxa" w:w="100"/>
              <w:right w:type="dxa" w:w="160"/>
            </w:tcMar>
          </w:tcPr>
          <w:p>
            <w:pPr>
              <w:spacing w:after="60"/>
            </w:pPr>
            <w:r>
              <w:rPr>
                <w:b/>
                <w:bCs/>
                <w:color w:val="1F4E79"/>
                <w:sz w:val="21"/>
                <w:szCs w:val="21"/>
              </w:rPr>
              <w:t xml:space="preserve">How to read the citations in this document</w:t>
            </w:r>
          </w:p>
          <w:p>
            <w:pPr>
              <w:spacing w:after="60"/>
            </w:pPr>
            <w:r>
              <w:rPr>
                <w:sz w:val="20"/>
                <w:szCs w:val="20"/>
              </w:rPr>
              <w:t xml:space="preserve">Every fact, figure or table is tagged with a source label such as </w:t>
            </w:r>
            <w:r>
              <w:rPr>
                <w:b/>
                <w:bCs/>
                <w:color w:val="1F4E79"/>
                <w:sz w:val="17"/>
                <w:szCs w:val="17"/>
              </w:rPr>
              <w:t xml:space="preserve"> [S1]</w:t>
            </w:r>
            <w:r>
              <w:rPr>
                <w:sz w:val="20"/>
                <w:szCs w:val="20"/>
              </w:rPr>
              <w:t xml:space="preserve"> or </w:t>
            </w:r>
            <w:r>
              <w:rPr>
                <w:b/>
                <w:bCs/>
                <w:color w:val="1F4E79"/>
                <w:sz w:val="17"/>
                <w:szCs w:val="17"/>
              </w:rPr>
              <w:t xml:space="preserve"> [S2]</w:t>
            </w:r>
            <w:r>
              <w:rPr>
                <w:sz w:val="20"/>
                <w:szCs w:val="20"/>
              </w:rPr>
              <w:t xml:space="preserve">. The full details and links for each label are in the </w:t>
            </w:r>
            <w:r>
              <w:rPr>
                <w:b/>
                <w:bCs/>
                <w:sz w:val="20"/>
                <w:szCs w:val="20"/>
              </w:rPr>
              <w:t xml:space="preserve">Source Register (Section 11)</w:t>
            </w:r>
            <w:r>
              <w:rPr>
                <w:sz w:val="20"/>
                <w:szCs w:val="20"/>
              </w:rPr>
              <w:t xml:space="preserve">.</w:t>
            </w:r>
          </w:p>
          <w:p>
            <w:pPr>
              <w:spacing w:after="60"/>
            </w:pPr>
            <w:r>
              <w:rPr>
                <w:sz w:val="20"/>
                <w:szCs w:val="20"/>
              </w:rPr>
              <w:t xml:space="preserve">Two other tags separate evidence from judgement: </w:t>
            </w:r>
            <w:r>
              <w:rPr>
                <w:i/>
                <w:iCs/>
                <w:color w:val="C55A11"/>
                <w:sz w:val="17"/>
                <w:szCs w:val="17"/>
              </w:rPr>
              <w:t xml:space="preserve"> [Design choice]</w:t>
            </w:r>
            <w:r>
              <w:rPr>
                <w:sz w:val="20"/>
                <w:szCs w:val="20"/>
              </w:rPr>
              <w:t xml:space="preserve"> marks a design decision made for GreenEIS (a proposal, not a published fact), and </w:t>
            </w:r>
            <w:r>
              <w:rPr>
                <w:i/>
                <w:iCs/>
                <w:color w:val="7030A0"/>
                <w:sz w:val="17"/>
                <w:szCs w:val="17"/>
              </w:rPr>
              <w:t xml:space="preserve"> [Derived analysis]</w:t>
            </w:r>
            <w:r>
              <w:rPr>
                <w:sz w:val="20"/>
                <w:szCs w:val="20"/>
              </w:rPr>
              <w:t xml:space="preserve"> marks a calculation or observation derived in this document from published numbers.</w:t>
            </w:r>
          </w:p>
          <w:p>
            <w:pPr>
              <w:spacing w:after="60"/>
            </w:pPr>
            <w:r>
              <w:rPr>
                <w:sz w:val="20"/>
                <w:szCs w:val="20"/>
              </w:rPr>
              <w:t xml:space="preserve">Figures are reproduced as published. Where sources disagree, the disagreement is shown rather than hidden (Section 2.5 and Section 4).</w:t>
            </w:r>
          </w:p>
        </w:tc>
      </w:tr>
    </w:tbl>
    <w:p>
      <w:pPr>
        <w:pStyle w:val="Heading1"/>
        <w:pageBreakBefore/>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21"/>
                <w:szCs w:val="21"/>
              </w:rPr>
              <w:t xml:space="preserve">No.</w:t>
            </w:r>
          </w:p>
        </w:tc>
        <w:tc>
          <w:tcPr>
            <w:tcW w:type="dxa" w:w="81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21"/>
                <w:szCs w:val="21"/>
              </w:rPr>
              <w:t xml:space="preserve">Section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1</w:t>
            </w:r>
          </w:p>
        </w:tc>
        <w:tc>
          <w:tcPr>
            <w:tcW w:type="dxa" w:w="8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Executive Summary</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2</w:t>
            </w:r>
          </w:p>
        </w:tc>
        <w:tc>
          <w:tcPr>
            <w:tcW w:type="dxa" w:w="8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The Problem in Numbers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3</w:t>
            </w:r>
          </w:p>
        </w:tc>
        <w:tc>
          <w:tcPr>
            <w:tcW w:type="dxa" w:w="8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Source-by-Source Evidence Review</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4</w:t>
            </w:r>
          </w:p>
        </w:tc>
        <w:tc>
          <w:tcPr>
            <w:tcW w:type="dxa" w:w="8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What the Published Data Reveal (including consistency checks)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5</w:t>
            </w:r>
          </w:p>
        </w:tc>
        <w:tc>
          <w:tcPr>
            <w:tcW w:type="dxa" w:w="8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Research Gaps and the Position of GreenEIS</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6</w:t>
            </w:r>
          </w:p>
        </w:tc>
        <w:tc>
          <w:tcPr>
            <w:tcW w:type="dxa" w:w="8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GreenEIS System Design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7</w:t>
            </w:r>
          </w:p>
        </w:tc>
        <w:tc>
          <w:tcPr>
            <w:tcW w:type="dxa" w:w="8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Worked Example with a Sample Factory</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8</w:t>
            </w:r>
          </w:p>
        </w:tc>
        <w:tc>
          <w:tcPr>
            <w:tcW w:type="dxa" w:w="8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Implementation Roadmap and Validation Plan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9</w:t>
            </w:r>
          </w:p>
        </w:tc>
        <w:tc>
          <w:tcPr>
            <w:tcW w:type="dxa" w:w="8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Limitations, Risks and Ethics</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10</w:t>
            </w:r>
          </w:p>
        </w:tc>
        <w:tc>
          <w:tcPr>
            <w:tcW w:type="dxa" w:w="8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Questions Evaluators May Ask, with Evidence-Based Answers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11</w:t>
            </w:r>
          </w:p>
        </w:tc>
        <w:tc>
          <w:tcPr>
            <w:tcW w:type="dxa" w:w="8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Source Register</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A</w:t>
            </w:r>
          </w:p>
        </w:tc>
        <w:tc>
          <w:tcPr>
            <w:tcW w:type="dxa" w:w="8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Appendix A: CSTEP (2018) Data Tables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B</w:t>
            </w:r>
          </w:p>
        </w:tc>
        <w:tc>
          <w:tcPr>
            <w:tcW w:type="dxa" w:w="8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1"/>
                <w:szCs w:val="21"/>
              </w:rPr>
              <w:t xml:space="preserve">Appendix B: CEEW (2018) Data Tables</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C</w:t>
            </w:r>
          </w:p>
        </w:tc>
        <w:tc>
          <w:tcPr>
            <w:tcW w:type="dxa" w:w="8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1"/>
                <w:szCs w:val="21"/>
              </w:rPr>
              <w:t xml:space="preserve">Appendix C: Glossary</w:t>
            </w:r>
          </w:p>
        </w:tc>
      </w:tr>
    </w:tbl>
    <w:p>
      <w:pPr>
        <w:spacing w:after="200"/>
      </w:pPr>
    </w:p>
    <w:p>
      <w:pPr>
        <w:pStyle w:val="Heading2"/>
        <w:keepNext/>
      </w:pPr>
      <w:r>
        <w:t xml:space="preserve">How this document maps to your project report</w:t>
      </w:r>
    </w:p>
    <w:p>
      <w:pPr>
        <w:spacing w:after="120" w:line="288"/>
        <w:jc w:val="left"/>
      </w:pPr>
      <w:r>
        <w:t xml:space="preserve">The sections are written so they can be lifted into a project report with little editing. A suggested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20"/>
                <w:szCs w:val="20"/>
              </w:rPr>
              <w:t xml:space="preserve">Report chapter</w:t>
            </w:r>
          </w:p>
        </w:tc>
        <w:tc>
          <w:tcPr>
            <w:tcW w:type="dxa" w:w="52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20"/>
                <w:szCs w:val="20"/>
              </w:rPr>
              <w:t xml:space="preserve">Use these sections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0"/>
                <w:szCs w:val="20"/>
              </w:rPr>
              <w:t xml:space="preserve">Introduction and problem statement</w:t>
            </w:r>
          </w:p>
        </w:tc>
        <w:tc>
          <w:tcPr>
            <w:tcW w:type="dxa" w:w="5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0"/>
                <w:szCs w:val="20"/>
              </w:rPr>
              <w:t xml:space="preserve">Sections 1, 2</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0"/>
                <w:szCs w:val="20"/>
              </w:rPr>
              <w:t xml:space="preserve">Literature review</w:t>
            </w:r>
          </w:p>
        </w:tc>
        <w:tc>
          <w:tcPr>
            <w:tcW w:type="dxa" w:w="5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0"/>
                <w:szCs w:val="20"/>
              </w:rPr>
              <w:t xml:space="preserve">Sections 3, 4 and the Source Register</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0"/>
                <w:szCs w:val="20"/>
              </w:rPr>
              <w:t xml:space="preserve">Research gap and objectives</w:t>
            </w:r>
          </w:p>
        </w:tc>
        <w:tc>
          <w:tcPr>
            <w:tcW w:type="dxa" w:w="5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0"/>
                <w:szCs w:val="20"/>
              </w:rPr>
              <w:t xml:space="preserve">Section 5</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0"/>
                <w:szCs w:val="20"/>
              </w:rPr>
              <w:t xml:space="preserve">Methodology / system design</w:t>
            </w:r>
          </w:p>
        </w:tc>
        <w:tc>
          <w:tcPr>
            <w:tcW w:type="dxa" w:w="5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0"/>
                <w:szCs w:val="20"/>
              </w:rPr>
              <w:t xml:space="preserve">Sections 6 and Appendix A (emission factors)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0"/>
                <w:szCs w:val="20"/>
              </w:rPr>
              <w:t xml:space="preserve">Implementation and case study</w:t>
            </w:r>
          </w:p>
        </w:tc>
        <w:tc>
          <w:tcPr>
            <w:tcW w:type="dxa" w:w="5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0"/>
                <w:szCs w:val="20"/>
              </w:rPr>
              <w:t xml:space="preserve">Sections 7, 8</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0"/>
                <w:szCs w:val="20"/>
              </w:rPr>
              <w:t xml:space="preserve">Discussion, limitations, future scope</w:t>
            </w:r>
          </w:p>
        </w:tc>
        <w:tc>
          <w:tcPr>
            <w:tcW w:type="dxa" w:w="5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20"/>
                <w:szCs w:val="20"/>
              </w:rPr>
              <w:t xml:space="preserve">Sections 4 (data issues), 9</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0"/>
                <w:szCs w:val="20"/>
              </w:rPr>
              <w:t xml:space="preserve">Viva preparation</w:t>
            </w:r>
          </w:p>
        </w:tc>
        <w:tc>
          <w:tcPr>
            <w:tcW w:type="dxa" w:w="5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20"/>
                <w:szCs w:val="20"/>
              </w:rPr>
              <w:t xml:space="preserve">Section 10</w:t>
            </w:r>
          </w:p>
        </w:tc>
      </w:tr>
    </w:tbl>
    <w:p>
      <w:pPr>
        <w:pStyle w:val="Heading1"/>
        <w:pageBreakBefore/>
      </w:pPr>
      <w:r>
        <w:t xml:space="preserve">1. Executive Summary</w:t>
      </w:r>
    </w:p>
    <w:p>
      <w:pPr>
        <w:spacing w:after="120" w:line="288"/>
        <w:jc w:val="left"/>
      </w:pPr>
      <w:r>
        <w:t xml:space="preserve">GreenEIS is proposed as a simple web dashboard through which a small factory enters monthly energy, fuel and material data and receives five outputs: automatically calculated emissions, a trust score for every number, a hotspot chart of the few activities that cause most emissions, a cost link showing what each activity costs in money and in emissions, and a what-if simulator for improvement ideas, supported by a short recommendation report </w:t>
      </w:r>
      <w:r>
        <w:rPr>
          <w:b/>
          <w:bCs/>
          <w:color w:val="1F4E79"/>
          <w:sz w:val="17"/>
          <w:szCs w:val="17"/>
        </w:rPr>
        <w:t xml:space="preserve"> [S8]</w:t>
      </w:r>
      <w:r>
        <w:t xml:space="preserve">.</w:t>
      </w:r>
    </w:p>
    <w:p>
      <w:pPr>
        <w:spacing w:after="120" w:line="288"/>
        <w:jc w:val="left"/>
      </w:pPr>
      <w:r>
        <w:t xml:space="preserve">The evidence collected for this document supports the need for such a tool from four independent directions:</w:t>
      </w:r>
    </w:p>
    <w:p>
      <w:pPr>
        <w:pStyle w:val="ListParagraph"/>
        <w:numPr>
          <w:ilvl w:val="0"/>
          <w:numId w:val="2"/>
        </w:numPr>
        <w:spacing w:after="70" w:line="276"/>
      </w:pPr>
      <w:r>
        <w:rPr>
          <w:b/>
          <w:bCs/>
        </w:rPr>
        <w:t xml:space="preserve">Size of the problem.</w:t>
      </w:r>
      <w:r>
        <w:t xml:space="preserve"> CSTEP estimated that the informal sector emitted about 110 MtCO2e in 2015–16 from fossil fuels alone, using 13% of India’s coal and lignite, 7% of petroleum products and 8% of natural gas </w:t>
      </w:r>
      <w:r>
        <w:rPr>
          <w:b/>
          <w:bCs/>
          <w:color w:val="1F4E79"/>
          <w:sz w:val="17"/>
          <w:szCs w:val="17"/>
        </w:rPr>
        <w:t xml:space="preserve"> [S1]</w:t>
      </w:r>
      <w:r>
        <w:t xml:space="preserve">. CEEW, using a completely different method, arrived at about 105 MtCO2e for the same year, of which coal was more than 90% </w:t>
      </w:r>
      <w:r>
        <w:rPr>
          <w:b/>
          <w:bCs/>
          <w:color w:val="1F4E79"/>
          <w:sz w:val="17"/>
          <w:szCs w:val="17"/>
        </w:rPr>
        <w:t xml:space="preserve"> [S2]</w:t>
      </w:r>
      <w:r>
        <w:t xml:space="preserve">.</w:t>
      </w:r>
    </w:p>
    <w:p>
      <w:pPr>
        <w:pStyle w:val="ListParagraph"/>
        <w:numPr>
          <w:ilvl w:val="0"/>
          <w:numId w:val="2"/>
        </w:numPr>
        <w:spacing w:after="70" w:line="276"/>
      </w:pPr>
      <w:r>
        <w:rPr>
          <w:b/>
          <w:bCs/>
        </w:rPr>
        <w:t xml:space="preserve">Data are the bottleneck.</w:t>
      </w:r>
      <w:r>
        <w:t xml:space="preserve"> Both studies state that no official fuel-consumption data exist for the informal sector. CSTEP could obtain industry-wise data for only about 55% of the coal consumed and none for petroleum products or natural gas </w:t>
      </w:r>
      <w:r>
        <w:rPr>
          <w:b/>
          <w:bCs/>
          <w:color w:val="1F4E79"/>
          <w:sz w:val="17"/>
          <w:szCs w:val="17"/>
        </w:rPr>
        <w:t xml:space="preserve"> [S1]</w:t>
      </w:r>
      <w:r>
        <w:t xml:space="preserve">; CEEW found that national surveys do not record energy use comprehensively and lack validation </w:t>
      </w:r>
      <w:r>
        <w:rPr>
          <w:b/>
          <w:bCs/>
          <w:color w:val="1F4E79"/>
          <w:sz w:val="17"/>
          <w:szCs w:val="17"/>
        </w:rPr>
        <w:t xml:space="preserve"> [S2]</w:t>
      </w:r>
      <w:r>
        <w:t xml:space="preserve">.</w:t>
      </w:r>
    </w:p>
    <w:p>
      <w:pPr>
        <w:pStyle w:val="ListParagraph"/>
        <w:numPr>
          <w:ilvl w:val="0"/>
          <w:numId w:val="2"/>
        </w:numPr>
        <w:spacing w:after="70" w:line="276"/>
      </w:pPr>
      <w:r>
        <w:rPr>
          <w:b/>
          <w:bCs/>
        </w:rPr>
        <w:t xml:space="preserve">Large, practical savings exist.</w:t>
      </w:r>
      <w:r>
        <w:t xml:space="preserve"> CSTEP’s 2024 scoping study of seven clusters and 66 units found that a combination of energy efficiency, renewable energy and advanced technologies could save 136,581 tCO2, 385,383 GJ of energy and INR 37 crore </w:t>
      </w:r>
      <w:r>
        <w:rPr>
          <w:b/>
          <w:bCs/>
          <w:color w:val="1F4E79"/>
          <w:sz w:val="17"/>
          <w:szCs w:val="17"/>
        </w:rPr>
        <w:t xml:space="preserve"> [S5, S7]</w:t>
      </w:r>
      <w:r>
        <w:t xml:space="preserve">. Over 80% of MSME energy demand is process heat </w:t>
      </w:r>
      <w:r>
        <w:rPr>
          <w:b/>
          <w:bCs/>
          <w:color w:val="1F4E79"/>
          <w:sz w:val="17"/>
          <w:szCs w:val="17"/>
        </w:rPr>
        <w:t xml:space="preserve"> [S4, S6]</w:t>
      </w:r>
      <w:r>
        <w:t xml:space="preserve">.</w:t>
      </w:r>
    </w:p>
    <w:p>
      <w:pPr>
        <w:pStyle w:val="ListParagraph"/>
        <w:numPr>
          <w:ilvl w:val="0"/>
          <w:numId w:val="2"/>
        </w:numPr>
        <w:spacing w:after="70" w:line="276"/>
      </w:pPr>
      <w:r>
        <w:rPr>
          <w:b/>
          <w:bCs/>
        </w:rPr>
        <w:t xml:space="preserve">Capability and finance gaps block action.</w:t>
      </w:r>
      <w:r>
        <w:t xml:space="preserve"> Only about 16% of MSME debt demand is met by the formal financial system, and climate finance usually requires detailed project and emission audit reports that small firms cannot prepare </w:t>
      </w:r>
      <w:r>
        <w:rPr>
          <w:b/>
          <w:bCs/>
          <w:color w:val="1F4E79"/>
          <w:sz w:val="17"/>
          <w:szCs w:val="17"/>
        </w:rPr>
        <w:t xml:space="preserve"> [S3]</w:t>
      </w:r>
      <w:r>
        <w:t xml:space="preserve">. SME-focused research repeatedly finds a lack of data tools, expertise and dedicated staff </w:t>
      </w:r>
      <w:r>
        <w:rPr>
          <w:b/>
          <w:bCs/>
          <w:color w:val="1F4E79"/>
          <w:sz w:val="17"/>
          <w:szCs w:val="17"/>
        </w:rPr>
        <w:t xml:space="preserve"> [S12, S13, S14]</w:t>
      </w:r>
      <w:r>
        <w:t xml:space="preserve">.</w:t>
      </w:r>
    </w:p>
    <w:p>
      <w:pPr>
        <w:spacing w:after="120" w:line="288"/>
        <w:jc w:val="left"/>
      </w:pPr>
      <w:r>
        <w:t xml:space="preserve">GreenEIS sits exactly in this gap. Its distinctive contribution is not a new emission factor but a </w:t>
      </w:r>
      <w:r>
        <w:rPr>
          <w:b/>
          <w:bCs/>
        </w:rPr>
        <w:t xml:space="preserve">decision layer</w:t>
      </w:r>
      <w:r>
        <w:t xml:space="preserve"> that existing studies and most carbon calculators do not combine: (i) a transparent trust score so a manager knows which numbers to believe, (ii) emissions linked to rupees so priorities are economic as well as environmental, and (iii) a what-if simulator for quantifying improvement ideas before spending money. These features draw on established practice: pedigree-matrix data-quality scoring </w:t>
      </w:r>
      <w:r>
        <w:rPr>
          <w:b/>
          <w:bCs/>
          <w:color w:val="1F4E79"/>
          <w:sz w:val="17"/>
          <w:szCs w:val="17"/>
        </w:rPr>
        <w:t xml:space="preserve"> [S9, S10]</w:t>
      </w:r>
      <w:r>
        <w:t xml:space="preserve">, hotspot-first prioritisation for SMEs </w:t>
      </w:r>
      <w:r>
        <w:rPr>
          <w:b/>
          <w:bCs/>
          <w:color w:val="1F4E79"/>
          <w:sz w:val="17"/>
          <w:szCs w:val="17"/>
        </w:rPr>
        <w:t xml:space="preserve"> [S11]</w:t>
      </w:r>
      <w:r>
        <w:t xml:space="preserve">, and what-if decision-support systems for manufacturing </w:t>
      </w:r>
      <w:r>
        <w:rPr>
          <w:b/>
          <w:bCs/>
          <w:color w:val="1F4E79"/>
          <w:sz w:val="17"/>
          <w:szCs w:val="17"/>
        </w:rPr>
        <w:t xml:space="preserve"> [S18, S19, S20, S21]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B" w:color="auto" w:val="clear"/>
            <w:tcMar>
              <w:top w:type="dxa" w:w="100"/>
              <w:left w:type="dxa" w:w="160"/>
              <w:bottom w:type="dxa" w:w="100"/>
              <w:right w:type="dxa" w:w="160"/>
            </w:tcMar>
          </w:tcPr>
          <w:p>
            <w:pPr>
              <w:spacing w:after="60"/>
            </w:pPr>
            <w:r>
              <w:rPr>
                <w:b/>
                <w:bCs/>
                <w:color w:val="1F4E79"/>
                <w:sz w:val="21"/>
                <w:szCs w:val="21"/>
              </w:rPr>
              <w:t xml:space="preserve">Three key messages for your viva</w:t>
            </w:r>
          </w:p>
          <w:p>
            <w:pPr>
              <w:spacing w:after="60"/>
            </w:pPr>
            <w:r>
              <w:rPr>
                <w:sz w:val="20"/>
                <w:szCs w:val="20"/>
              </w:rPr>
              <w:t xml:space="preserve">1. The informal sector is a hard-to-measure but material source: roughly 105–110 MtCO2e in 2015–16 </w:t>
            </w:r>
            <w:r>
              <w:rPr>
                <w:b/>
                <w:bCs/>
                <w:color w:val="1F4E79"/>
                <w:sz w:val="17"/>
                <w:szCs w:val="17"/>
              </w:rPr>
              <w:t xml:space="preserve"> [S1, S2]</w:t>
            </w:r>
            <w:r>
              <w:rPr>
                <w:sz w:val="20"/>
                <w:szCs w:val="20"/>
              </w:rPr>
              <w:t xml:space="preserve">.</w:t>
            </w:r>
          </w:p>
          <w:p>
            <w:pPr>
              <w:spacing w:after="60"/>
            </w:pPr>
            <w:r>
              <w:rPr>
                <w:sz w:val="20"/>
                <w:szCs w:val="20"/>
              </w:rPr>
              <w:t xml:space="preserve">2. Two respected studies disagree on method and totals, which is itself evidence that numbers must carry a confidence label. That is the rationale for the trust score.</w:t>
            </w:r>
          </w:p>
          <w:p>
            <w:pPr>
              <w:spacing w:after="60"/>
            </w:pPr>
            <w:r>
              <w:rPr>
                <w:sz w:val="20"/>
                <w:szCs w:val="20"/>
              </w:rPr>
              <w:t xml:space="preserve">3. GreenEIS does not replace national inventories; it gives one factory a usable, honest and cost-aware view of its own footprint.</w:t>
            </w:r>
          </w:p>
        </w:tc>
      </w:tr>
    </w:tbl>
    <w:p>
      <w:pPr>
        <w:pStyle w:val="Heading1"/>
        <w:pageBreakBefore/>
      </w:pPr>
      <w:r>
        <w:t xml:space="preserve">2. The Problem in Numbers</w:t>
      </w:r>
    </w:p>
    <w:p>
      <w:pPr>
        <w:pStyle w:val="Heading2"/>
        <w:keepNext/>
      </w:pPr>
      <w:r>
        <w:t xml:space="preserve">2.1 Why the informal sector matters</w:t>
      </w:r>
    </w:p>
    <w:p>
      <w:pPr>
        <w:spacing w:after="120" w:line="288"/>
        <w:jc w:val="left"/>
      </w:pPr>
      <w:r>
        <w:t xml:space="preserve">India’s greenhouse-gas policy has concentrated on thermal power and energy-intensive industries such as iron and steel and cement, which together accounted for 78% of emissions in 2010 according to CSTEP’s summary of government data </w:t>
      </w:r>
      <w:r>
        <w:rPr>
          <w:b/>
          <w:bCs/>
          <w:color w:val="1F4E79"/>
          <w:sz w:val="17"/>
          <w:szCs w:val="17"/>
        </w:rPr>
        <w:t xml:space="preserve"> [S1]</w:t>
      </w:r>
      <w:r>
        <w:t xml:space="preserve">. Schemes such as the Perform, Achieve and Trade (PAT) mechanism cut the specific energy consumption of these sectors by 4–5% by 2015 against 2012 levels, equal to roughly 31 Mt of CO2 </w:t>
      </w:r>
      <w:r>
        <w:rPr>
          <w:b/>
          <w:bCs/>
          <w:color w:val="1F4E79"/>
          <w:sz w:val="17"/>
          <w:szCs w:val="17"/>
        </w:rPr>
        <w:t xml:space="preserve"> [S1]</w:t>
      </w:r>
      <w:r>
        <w:t xml:space="preserve">. The informal sector of micro, small and medium enterprises (MSMEs), brick kilns and unorganised units received much less attention even though CSTEP, citing the Department of Industrial Policy and Promotion, noted that it contributes 45% of manufacturing output </w:t>
      </w:r>
      <w:r>
        <w:rPr>
          <w:b/>
          <w:bCs/>
          <w:color w:val="1F4E79"/>
          <w:sz w:val="17"/>
          <w:szCs w:val="17"/>
        </w:rPr>
        <w:t xml:space="preserve"> [S1]</w:t>
      </w:r>
      <w:r>
        <w:t xml:space="preserve">.</w:t>
      </w:r>
    </w:p>
    <w:p>
      <w:pPr>
        <w:spacing w:after="120" w:line="288"/>
        <w:jc w:val="left"/>
      </w:pPr>
      <w:r>
        <w:t xml:space="preserve">CEEW frames the same issue through statistics on enterprises. The unorganised manufacturing sector accounts for about 40% of gross value added and 71% of employment in manufacturing, and about 97% of industrial enterprises, yet there are no reliable estimates of its operating parameters or energy use </w:t>
      </w:r>
      <w:r>
        <w:rPr>
          <w:b/>
          <w:bCs/>
          <w:color w:val="1F4E79"/>
          <w:sz w:val="17"/>
          <w:szCs w:val="17"/>
        </w:rPr>
        <w:t xml:space="preserve"> [S2]</w:t>
      </w:r>
      <w:r>
        <w:t xml:space="preserve">. Between 2005–06 and 2015–16 the number of informal manufacturing establishments grew from about 11 million to about 18 million </w:t>
      </w:r>
      <w:r>
        <w:rPr>
          <w:b/>
          <w:bCs/>
          <w:color w:val="1F4E79"/>
          <w:sz w:val="17"/>
          <w:szCs w:val="17"/>
        </w:rPr>
        <w:t xml:space="preserve"> [S2]</w:t>
      </w:r>
      <w:r>
        <w:t xml:space="preserve">.</w:t>
      </w:r>
    </w:p>
    <w:p>
      <w:pPr>
        <w:pStyle w:val="Heading2"/>
        <w:keepNext/>
      </w:pPr>
      <w:r>
        <w:t xml:space="preserve">2.2 Emission footprint</w:t>
      </w:r>
    </w:p>
    <w:p>
      <w:pPr>
        <w:spacing w:after="120" w:line="288"/>
        <w:jc w:val="left"/>
      </w:pPr>
      <w:r>
        <w:t xml:space="preserve">CSTEP’s bottom-up fuel-supply estimate puts informal-sector emissions at 110 MtCO2e in 2015–16, about 6% of India’s total, and 112–113 MtCO2e for calendar year 2010 against a figure of 130 MtCO2e in the national Biennial Update Report for non-specific industries </w:t>
      </w:r>
      <w:r>
        <w:rPr>
          <w:b/>
          <w:bCs/>
          <w:color w:val="1F4E79"/>
          <w:sz w:val="17"/>
          <w:szCs w:val="17"/>
        </w:rPr>
        <w:t xml:space="preserve"> [S1]</w:t>
      </w:r>
      <w:r>
        <w:t xml:space="preserve">. CEEW’s demand-side estimate shows emissions from primary energy (excluding electricity) rising from 32 MtCO2e in 2005–06 to 105 MtCO2e in 2015–16, with coal contributing more than 90% in the later year, natural gas emissions static, and petroleum fuels rising only from 3 to 4 MtCO2e </w:t>
      </w:r>
      <w:r>
        <w:rPr>
          <w:b/>
          <w:bCs/>
          <w:color w:val="1F4E79"/>
          <w:sz w:val="17"/>
          <w:szCs w:val="17"/>
        </w:rPr>
        <w:t xml:space="preserve"> [S2]</w:t>
      </w:r>
      <w:r>
        <w:t xml:space="preserve">. For context, CEEW’s earlier estimates for all manufacturing show emissions almost doubling from about 315 MMT CO2e in 2005 to about 623 MMT in 2013, an 8% annual growth rate </w:t>
      </w:r>
      <w:r>
        <w:rPr>
          <w:b/>
          <w:bCs/>
          <w:color w:val="1F4E79"/>
          <w:sz w:val="17"/>
          <w:szCs w:val="17"/>
        </w:rPr>
        <w:t xml:space="preserve"> [S17]</w:t>
      </w:r>
      <w:r>
        <w:t xml:space="preserve">.</w:t>
      </w:r>
    </w:p>
    <w:p>
      <w:pPr>
        <w:pStyle w:val="Heading2"/>
        <w:keepNext/>
      </w:pPr>
      <w:r>
        <w:t xml:space="preserve">2.3 Energy profile of small units</w:t>
      </w:r>
    </w:p>
    <w:p>
      <w:pPr>
        <w:spacing w:after="120" w:line="288"/>
        <w:jc w:val="left"/>
      </w:pPr>
      <w:r>
        <w:t xml:space="preserve">CSTEP’s MSME decarbonisation project states that the MSME manufacturing sector accounts for nearly a quarter of India’s industrial energy use, and that in most units over 80% of demand is process heat for boilers, furnaces and dryers, typically fired by coal, pet-coke or natural gas </w:t>
      </w:r>
      <w:r>
        <w:rPr>
          <w:b/>
          <w:bCs/>
          <w:color w:val="1F4E79"/>
          <w:sz w:val="17"/>
          <w:szCs w:val="17"/>
        </w:rPr>
        <w:t xml:space="preserve"> [S4]</w:t>
      </w:r>
      <w:r>
        <w:t xml:space="preserve">. The 2024 policy brief repeats the 80% figure and classes MSMEs as a hard-to-abate sector, noting exposure to fuel-price rises because energy is a substantial share of manufacturing cost </w:t>
      </w:r>
      <w:r>
        <w:rPr>
          <w:b/>
          <w:bCs/>
          <w:color w:val="1F4E79"/>
          <w:sz w:val="17"/>
          <w:szCs w:val="17"/>
        </w:rPr>
        <w:t xml:space="preserve"> [S5, S6]</w:t>
      </w:r>
      <w:r>
        <w:t xml:space="preserve">. By contrast, CEEW’s review of the 4th MSME Census shows that for unorganised units electricity made up 48% of the fuel mix, about 38% of units used no electricity at all, about 5% used oil, only about 2% used coal and about 2% used biomass; even so, those small percentages still represent nearly 14 lakh units burning oil or coal </w:t>
      </w:r>
      <w:r>
        <w:rPr>
          <w:b/>
          <w:bCs/>
          <w:color w:val="1F4E79"/>
          <w:sz w:val="17"/>
          <w:szCs w:val="17"/>
        </w:rPr>
        <w:t xml:space="preserve"> [S2]</w:t>
      </w:r>
      <w:r>
        <w:t xml:space="preserve">.</w:t>
      </w:r>
    </w:p>
    <w:p>
      <w:pPr>
        <w:pStyle w:val="Heading2"/>
        <w:keepNext/>
      </w:pPr>
      <w:r>
        <w:t xml:space="preserve">2.4 Finance and capability gap</w:t>
      </w:r>
    </w:p>
    <w:p>
      <w:pPr>
        <w:spacing w:after="120" w:line="288"/>
        <w:jc w:val="left"/>
      </w:pPr>
      <w:r>
        <w:t xml:space="preserve">Down To Earth reports that the MSME sector contributes about 30% of India’s GDP and employs about 120 million people </w:t>
      </w:r>
      <w:r>
        <w:rPr>
          <w:b/>
          <w:bCs/>
          <w:color w:val="1F4E79"/>
          <w:sz w:val="17"/>
          <w:szCs w:val="17"/>
        </w:rPr>
        <w:t xml:space="preserve"> [S3]</w:t>
      </w:r>
      <w:r>
        <w:t xml:space="preserve">. Citing an International Finance Corporation study, the article states that only about 16% of MSME debt demand is met by formal banks and government institutions, and that the credit gap compounded at about 37% a year between 2010 and 2017, growing from roughly US$37 billion to roughly US$330 billion </w:t>
      </w:r>
      <w:r>
        <w:rPr>
          <w:b/>
          <w:bCs/>
          <w:color w:val="1F4E79"/>
          <w:sz w:val="17"/>
          <w:szCs w:val="17"/>
        </w:rPr>
        <w:t xml:space="preserve"> [S3]</w:t>
      </w:r>
      <w:r>
        <w:t xml:space="preserve">. Three barriers to climate finance are named: low awareness and financial literacy, a formal financing structure that most MSMEs cannot enter, and procedural demands such as detailed project reports and energy and emission audit reports that many micro-businesses cannot produce </w:t>
      </w:r>
      <w:r>
        <w:rPr>
          <w:b/>
          <w:bCs/>
          <w:color w:val="1F4E79"/>
          <w:sz w:val="17"/>
          <w:szCs w:val="17"/>
        </w:rPr>
        <w:t xml:space="preserve"> [S3]</w:t>
      </w:r>
      <w:r>
        <w:t xml:space="preserve">. A UNIDO coordinator quoted in the article calls for large-scale capacity building and for linking MSMEs to a digital framework </w:t>
      </w:r>
      <w:r>
        <w:rPr>
          <w:b/>
          <w:bCs/>
          <w:color w:val="1F4E79"/>
          <w:sz w:val="17"/>
          <w:szCs w:val="17"/>
        </w:rPr>
        <w:t xml:space="preserve"> [S3]</w:t>
      </w:r>
      <w:r>
        <w:t xml:space="preserve">.</w:t>
      </w:r>
    </w:p>
    <w:p>
      <w:pPr>
        <w:spacing w:after="120" w:line="288"/>
        <w:jc w:val="left"/>
      </w:pPr>
      <w:r>
        <w:t xml:space="preserve">Research on SME carbon accounting abroad reports the same pattern: limited technology access, funding and expertise </w:t>
      </w:r>
      <w:r>
        <w:rPr>
          <w:b/>
          <w:bCs/>
          <w:color w:val="1F4E79"/>
          <w:sz w:val="17"/>
          <w:szCs w:val="17"/>
        </w:rPr>
        <w:t xml:space="preserve"> [S14]</w:t>
      </w:r>
      <w:r>
        <w:t xml:space="preserve">; no dedicated personnel and no data-collection tools, together with reluctance to adopt digital systems </w:t>
      </w:r>
      <w:r>
        <w:rPr>
          <w:b/>
          <w:bCs/>
          <w:color w:val="1F4E79"/>
          <w:sz w:val="17"/>
          <w:szCs w:val="17"/>
        </w:rPr>
        <w:t xml:space="preserve"> [S13]</w:t>
      </w:r>
      <w:r>
        <w:t xml:space="preserve">; and a lack of technical infrastructure for collecting and reporting emission data </w:t>
      </w:r>
      <w:r>
        <w:rPr>
          <w:b/>
          <w:bCs/>
          <w:color w:val="1F4E79"/>
          <w:sz w:val="17"/>
          <w:szCs w:val="17"/>
        </w:rPr>
        <w:t xml:space="preserve"> [S12]</w:t>
      </w:r>
      <w:r>
        <w:t xml:space="preserve">. A policy brief for the G20-track T20 process goes further and argues that SMEs lacking carbon-accounting capability risk exclusion from contracts as large buyers begin to report supply-chain emissions </w:t>
      </w:r>
      <w:r>
        <w:rPr>
          <w:b/>
          <w:bCs/>
          <w:color w:val="1F4E79"/>
          <w:sz w:val="17"/>
          <w:szCs w:val="17"/>
        </w:rPr>
        <w:t xml:space="preserve"> [S15]</w:t>
      </w:r>
      <w:r>
        <w:t xml:space="preserve">. Exporting SMEs in Sri Lanka were more likely to adopt carbon accounting because of buyer and regulatory pressure </w:t>
      </w:r>
      <w:r>
        <w:rPr>
          <w:b/>
          <w:bCs/>
          <w:color w:val="1F4E79"/>
          <w:sz w:val="17"/>
          <w:szCs w:val="17"/>
        </w:rPr>
        <w:t xml:space="preserve"> [S14]</w:t>
      </w:r>
      <w:r>
        <w:t xml:space="preserve">, which mirrors the “lost orders” argument in your project note </w:t>
      </w:r>
      <w:r>
        <w:rPr>
          <w:b/>
          <w:bCs/>
          <w:color w:val="1F4E79"/>
          <w:sz w:val="17"/>
          <w:szCs w:val="17"/>
        </w:rPr>
        <w:t xml:space="preserve"> [S8]</w:t>
      </w:r>
      <w:r>
        <w:t xml:space="preserve">.</w:t>
      </w:r>
    </w:p>
    <w:p>
      <w:pPr>
        <w:pStyle w:val="Heading2"/>
        <w:keepNext/>
      </w:pPr>
      <w:r>
        <w:t xml:space="preserve">2.5 Key figures and where they come from</w:t>
      </w:r>
    </w:p>
    <w:p>
      <w:pPr>
        <w:keepNext/>
        <w:spacing w:after="60" w:before="120"/>
      </w:pPr>
      <w:r>
        <w:rPr>
          <w:i/>
          <w:iCs/>
          <w:color w:val="404040"/>
          <w:sz w:val="18"/>
          <w:szCs w:val="18"/>
        </w:rPr>
        <w:t xml:space="preserve">Table 2.1: Key figures used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1000"/>
        <w:gridCol w:w="1626"/>
      </w:tblGrid>
      <w:tr>
        <w:trPr>
          <w:cantSplit/>
          <w:tblHeader/>
        </w:trPr>
        <w:tc>
          <w:tcPr>
            <w:tcW w:type="dxa" w:w="3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Indicator</w:t>
            </w:r>
          </w:p>
        </w:tc>
        <w:tc>
          <w:tcPr>
            <w:tcW w:type="dxa" w:w="2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Value</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Year</w:t>
            </w:r>
          </w:p>
        </w:tc>
        <w:tc>
          <w:tcPr>
            <w:tcW w:type="dxa" w:w="1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Source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Informal-sector GHG emissions from fossil fuels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110 MtCO2e (about 6% of total)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2015–16</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[S1]</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Informal-sector emissions, primary energy excl. electricity</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105 MtCO2e (32 MtCO2e in 2005–06)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2015–16</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Share of coal in informal emissions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More than 90%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2015–16</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[S2]</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Coal and lignite used by informal sector</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13% of supply (81 Mt)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2015–16</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Petroleum products used by informal sector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7% of supply (8.5 Mt)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2015–16</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[S1]</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Natural gas used by informal sector</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8% of supply (3.3 BCM)</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2015–16</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Informal share of manufacturing GVA / employment</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About 40% / 71%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2015–16</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[S2]</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Informal manufacturing establishments</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About 18 million (from about 11 million)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2015–16</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MSME share of manufacturing energy use</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Nearly one quarter</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Not stated</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[S4]</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Share of MSME energy demand that is process heat</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Over 80%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Not stated</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[S4, S6]</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Potential savings, 7 clusters, 66 units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136,581 tCO2; 385,383 GJ; INR 37 crore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2024</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[S5, S7]</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Share of MSME debt demand met by formal finance</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About 16%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2017</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[S3]</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India’s climate goals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50% renewable energy by 2030; net zero by 2070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2021</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[S3]</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India’s carbon-intensity target</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33–35% below 2005 levels by 2030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2015</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[S1]</w:t>
            </w:r>
          </w:p>
        </w:tc>
      </w:tr>
    </w:tbl>
    <w:p>
      <w:pPr>
        <w:spacing w:after="120"/>
      </w:pPr>
    </w:p>
    <w:p>
      <w:pPr>
        <w:pStyle w:val="Heading3"/>
        <w:keepNext/>
      </w:pPr>
      <w:r>
        <w:t xml:space="preserve">Figures that differ across sources</w:t>
      </w:r>
    </w:p>
    <w:p>
      <w:pPr>
        <w:spacing w:after="120" w:line="288"/>
        <w:jc w:val="left"/>
      </w:pPr>
      <w:r>
        <w:t xml:space="preserve">A good literature review notes disagreements rather than picking one number silently. The table below lists those found while compiling this document. The differences are mostly definitional (what “MSME” or “informal” includes, and which fuels and years are covered) and should be stated in your report whenever a figure is quoted.</w:t>
      </w:r>
    </w:p>
    <w:p>
      <w:pPr>
        <w:keepNext/>
        <w:spacing w:after="60" w:before="120"/>
      </w:pPr>
      <w:r>
        <w:rPr>
          <w:i/>
          <w:iCs/>
          <w:color w:val="404040"/>
          <w:sz w:val="18"/>
          <w:szCs w:val="18"/>
        </w:rPr>
        <w:t xml:space="preserve">Table 2.2: Disagreements and differences between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50"/>
        <w:gridCol w:w="2450"/>
        <w:gridCol w:w="2826"/>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Topic</w:t>
            </w:r>
          </w:p>
        </w:tc>
        <w:tc>
          <w:tcPr>
            <w:tcW w:type="dxa" w:w="2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Source A</w:t>
            </w:r>
          </w:p>
        </w:tc>
        <w:tc>
          <w:tcPr>
            <w:tcW w:type="dxa" w:w="24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Source B</w:t>
            </w:r>
          </w:p>
        </w:tc>
        <w:tc>
          <w:tcPr>
            <w:tcW w:type="dxa" w:w="28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Likely reason / how to handle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Emissions, 2015–16</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CSTEP: 110 MtCO2e </w:t>
            </w:r>
            <w:r>
              <w:rPr>
                <w:b/>
                <w:bCs/>
                <w:color w:val="1F4E79"/>
                <w:sz w:val="17"/>
                <w:szCs w:val="17"/>
              </w:rPr>
              <w:t xml:space="preserve"> [S1]</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CEEW: 105 MtCO2e </w:t>
            </w:r>
            <w:r>
              <w:rPr>
                <w:b/>
                <w:bCs/>
                <w:color w:val="1F4E79"/>
                <w:sz w:val="17"/>
                <w:szCs w:val="17"/>
              </w:rPr>
              <w:t xml:space="preserve"> [S2]</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Different methods (fuel supply vs. demand estimated from surveys); both exclude process emissions. Quote as a range of 105–110.</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Share of GDP / output</w:t>
            </w:r>
          </w:p>
        </w:tc>
        <w:tc>
          <w:tcPr>
            <w:tcW w:type="dxa" w:w="2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CSTEP: MSMEs 7% of GDP, 45% of manufacturing output </w:t>
            </w:r>
            <w:r>
              <w:rPr>
                <w:b/>
                <w:bCs/>
                <w:color w:val="1F4E79"/>
                <w:sz w:val="17"/>
                <w:szCs w:val="17"/>
              </w:rPr>
              <w:t xml:space="preserve"> [S1]</w:t>
            </w:r>
          </w:p>
        </w:tc>
        <w:tc>
          <w:tcPr>
            <w:tcW w:type="dxa" w:w="24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Down To Earth: MSMEs about 30% of GDP, about 120 million jobs </w:t>
            </w:r>
            <w:r>
              <w:rPr>
                <w:b/>
                <w:bCs/>
                <w:color w:val="1F4E79"/>
                <w:sz w:val="17"/>
                <w:szCs w:val="17"/>
              </w:rPr>
              <w:t xml:space="preserve"> [S3]</w:t>
            </w:r>
          </w:p>
        </w:tc>
        <w:tc>
          <w:tcPr>
            <w:tcW w:type="dxa" w:w="28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Down To Earth covers all MSMEs including services; CSTEP quotes the manufacturing context. State which definition you use.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Informal share of manufacturing</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CSTEP: 45% of output </w:t>
            </w:r>
            <w:r>
              <w:rPr>
                <w:b/>
                <w:bCs/>
                <w:color w:val="1F4E79"/>
                <w:sz w:val="17"/>
                <w:szCs w:val="17"/>
              </w:rPr>
              <w:t xml:space="preserve"> [S1]</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CEEW: about 40% of GVA </w:t>
            </w:r>
            <w:r>
              <w:rPr>
                <w:b/>
                <w:bCs/>
                <w:color w:val="1F4E79"/>
                <w:sz w:val="17"/>
                <w:szCs w:val="17"/>
              </w:rPr>
              <w:t xml:space="preserve"> [S2]</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Output vs. value added; different years and definitions.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Informal coal use, 2015–16</w:t>
            </w:r>
          </w:p>
        </w:tc>
        <w:tc>
          <w:tcPr>
            <w:tcW w:type="dxa" w:w="2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CSTEP: 80.79 Mt in the “others” category </w:t>
            </w:r>
            <w:r>
              <w:rPr>
                <w:b/>
                <w:bCs/>
                <w:color w:val="1F4E79"/>
                <w:sz w:val="17"/>
                <w:szCs w:val="17"/>
              </w:rPr>
              <w:t xml:space="preserve"> [S1]</w:t>
            </w:r>
          </w:p>
        </w:tc>
        <w:tc>
          <w:tcPr>
            <w:tcW w:type="dxa" w:w="24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CEEW: about 14% (about 86 Mt) of dispatches sit in “others”, only part of it informal </w:t>
            </w:r>
            <w:r>
              <w:rPr>
                <w:b/>
                <w:bCs/>
                <w:color w:val="1F4E79"/>
                <w:sz w:val="17"/>
                <w:szCs w:val="17"/>
              </w:rPr>
              <w:t xml:space="preserve"> [S2]</w:t>
            </w:r>
            <w:r>
              <w:rPr>
                <w:sz w:val="17"/>
                <w:szCs w:val="17"/>
              </w:rPr>
              <w:t xml:space="preserve">; the annexure sums to about 52 Mt </w:t>
            </w:r>
            <w:r>
              <w:rPr>
                <w:i/>
                <w:iCs/>
                <w:color w:val="7030A0"/>
                <w:sz w:val="17"/>
                <w:szCs w:val="17"/>
              </w:rPr>
              <w:t xml:space="preserve"> [Derived analysis]</w:t>
            </w:r>
          </w:p>
        </w:tc>
        <w:tc>
          <w:tcPr>
            <w:tcW w:type="dxa" w:w="28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“Others” contains registered units and traders as well; CEEW’s estimate is demand-side and excludes some uses.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Coal used by brick kilns</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CEEW: about 26 Mt </w:t>
            </w:r>
            <w:r>
              <w:rPr>
                <w:b/>
                <w:bCs/>
                <w:color w:val="1F4E79"/>
                <w:sz w:val="17"/>
                <w:szCs w:val="17"/>
              </w:rPr>
              <w:t xml:space="preserve"> [S2]</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Other studies cited by CEEW: 35–40 Mt (CPCB), 35 Mt (Greentech), 46–69 Mt (MNRE) </w:t>
            </w:r>
            <w:r>
              <w:rPr>
                <w:b/>
                <w:bCs/>
                <w:color w:val="1F4E79"/>
                <w:sz w:val="17"/>
                <w:szCs w:val="17"/>
              </w:rPr>
              <w:t xml:space="preserve"> [S2]</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CEEW attributes its lower figure to under-reported employment in the survey (1.8 million vs 9–10 million in CPCB). Strong evidence for a trust score.</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2010 emissions</w:t>
            </w:r>
          </w:p>
        </w:tc>
        <w:tc>
          <w:tcPr>
            <w:tcW w:type="dxa" w:w="2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CSTEP: 113 MtCO2e </w:t>
            </w:r>
            <w:r>
              <w:rPr>
                <w:b/>
                <w:bCs/>
                <w:color w:val="1F4E79"/>
                <w:sz w:val="17"/>
                <w:szCs w:val="17"/>
              </w:rPr>
              <w:t xml:space="preserve"> [S1]</w:t>
            </w:r>
          </w:p>
        </w:tc>
        <w:tc>
          <w:tcPr>
            <w:tcW w:type="dxa" w:w="24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National BUR: 130 MtCO2e for non-specific industries </w:t>
            </w:r>
            <w:r>
              <w:rPr>
                <w:b/>
                <w:bCs/>
                <w:color w:val="1F4E79"/>
                <w:sz w:val="17"/>
                <w:szCs w:val="17"/>
              </w:rPr>
              <w:t xml:space="preserve"> [S1]</w:t>
            </w:r>
          </w:p>
        </w:tc>
        <w:tc>
          <w:tcPr>
            <w:tcW w:type="dxa" w:w="28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CSTEP attributes the gap to assumptions made in the analysis.</w:t>
            </w:r>
          </w:p>
        </w:tc>
      </w:tr>
    </w:tbl>
    <w:p>
      <w:pPr>
        <w:pStyle w:val="Heading1"/>
        <w:pageBreakBefore/>
      </w:pPr>
      <w:r>
        <w:t xml:space="preserve">3. Source-by-Source Evidence Review</w:t>
      </w:r>
    </w:p>
    <w:p>
      <w:pPr>
        <w:spacing w:after="120" w:line="288"/>
        <w:jc w:val="left"/>
      </w:pPr>
      <w:r>
        <w:t xml:space="preserve">This section summarises each source you provided, then the additional research found online, in the form of: what it did, what it found, what it cannot do, and how it feeds GreenEIS.</w:t>
      </w:r>
    </w:p>
    <w:p>
      <w:pPr>
        <w:pStyle w:val="Heading2"/>
        <w:keepNext/>
      </w:pPr>
      <w:r>
        <w:t xml:space="preserve">3.1 CSTEP (2018): Greenhouse Gas Emissions from the Informal Sector in India {S1}</w:t>
      </w:r>
    </w:p>
    <w:p>
      <w:pPr>
        <w:spacing w:after="120" w:line="288"/>
        <w:jc w:val="left"/>
      </w:pPr>
      <w:r>
        <w:rPr>
          <w:b/>
          <w:bCs/>
        </w:rPr>
        <w:t xml:space="preserve">Who and what.</w:t>
      </w:r>
      <w:r>
        <w:t xml:space="preserve"> The report by Murali Ramakrishnan Ananthakumar and Roshna N. of the Center for Study of Science, Technology and Policy (CSTEP), supported by Shakti Sustainable Energy Foundation and GHG Platform India, estimates the carbon footprint of the informal sector due to fossil-fuel consumption for 2008–09 to 2015–16 </w:t>
      </w:r>
      <w:r>
        <w:rPr>
          <w:b/>
          <w:bCs/>
          <w:color w:val="1F4E79"/>
          <w:sz w:val="17"/>
          <w:szCs w:val="17"/>
        </w:rPr>
        <w:t xml:space="preserve"> [S1]</w:t>
      </w:r>
      <w:r>
        <w:t xml:space="preserve">.</w:t>
      </w:r>
    </w:p>
    <w:p>
      <w:pPr>
        <w:spacing w:after="120" w:line="288"/>
        <w:jc w:val="left"/>
      </w:pPr>
      <w:r>
        <w:rPr>
          <w:b/>
          <w:bCs/>
        </w:rPr>
        <w:t xml:space="preserve">Method.</w:t>
      </w:r>
      <w:r>
        <w:t xml:space="preserve"> Following IPCC guidelines with AR5 global-warming potentials, each gas is estimated as fuel consumption × net calorific value (NCV) × emission factor, summed over industries or fuels, and converted to CO2e (CH4 = 28, N2O = 265) </w:t>
      </w:r>
      <w:r>
        <w:rPr>
          <w:b/>
          <w:bCs/>
          <w:color w:val="1F4E79"/>
          <w:sz w:val="17"/>
          <w:szCs w:val="17"/>
        </w:rPr>
        <w:t xml:space="preserve"> [S1]</w:t>
      </w:r>
      <w:r>
        <w:t xml:space="preserve">. Gaseous fuels use volume and a volumetric calorific value. Default IPCC factors are used where Indian factors are unavailable. The formulas are given in Section 6.4 of this document.</w:t>
      </w:r>
    </w:p>
    <w:p>
      <w:pPr>
        <w:spacing w:after="120" w:line="288"/>
        <w:jc w:val="left"/>
      </w:pPr>
      <w:r>
        <w:rPr>
          <w:b/>
          <w:bCs/>
        </w:rPr>
        <w:t xml:space="preserve">Assumptions that matter for GreenEIS.</w:t>
      </w:r>
      <w:r>
        <w:t xml:space="preserve"> (a) A country-specific emission factor for sub-bituminous coal was applied to all coal because the grade supplied to the sector is unknown; (b) briquetting is assumed to emit zero because it involves only physical processing; (c) coal and coke briquetting is assumed to be located in West Bengal and to take 28% of informal coal, a share applied to all years; (d) the share of coal used for coking (about 0.03%) was held constant across years </w:t>
      </w:r>
      <w:r>
        <w:rPr>
          <w:b/>
          <w:bCs/>
          <w:color w:val="1F4E79"/>
          <w:sz w:val="17"/>
          <w:szCs w:val="17"/>
        </w:rPr>
        <w:t xml:space="preserve"> [S1]</w:t>
      </w:r>
      <w:r>
        <w:t xml:space="preserve">.</w:t>
      </w:r>
    </w:p>
    <w:p>
      <w:pPr>
        <w:spacing w:after="120" w:line="288"/>
        <w:jc w:val="left"/>
      </w:pPr>
      <w:r>
        <w:rPr>
          <w:b/>
          <w:bCs/>
        </w:rPr>
        <w:t xml:space="preserve">Findings.</w:t>
      </w:r>
      <w:r>
        <w:t xml:space="preserve"> Informal coal consumption grew at a compound rate of 6.34% a year since 2008–09 while lignite fell 9.7% a year </w:t>
      </w:r>
      <w:r>
        <w:rPr>
          <w:b/>
          <w:bCs/>
          <w:color w:val="1F4E79"/>
          <w:sz w:val="17"/>
          <w:szCs w:val="17"/>
        </w:rPr>
        <w:t xml:space="preserve"> [S1]</w:t>
      </w:r>
      <w:r>
        <w:t xml:space="preserve">. Emissions from coal and lignite rose from 63 MtCO2e to 94 MtCO2e, and solid fuels contributed the largest share (growth of 5.8% a year to 2015–16) </w:t>
      </w:r>
      <w:r>
        <w:rPr>
          <w:b/>
          <w:bCs/>
          <w:color w:val="1F4E79"/>
          <w:sz w:val="17"/>
          <w:szCs w:val="17"/>
        </w:rPr>
        <w:t xml:space="preserve"> [S1]</w:t>
      </w:r>
      <w:r>
        <w:t xml:space="preserve">. Liquid-fuel use (diesel, furnace oil) fell while coal, lignite and natural gas rose, which CSTEP links to growth of the sector and gas imports </w:t>
      </w:r>
      <w:r>
        <w:rPr>
          <w:b/>
          <w:bCs/>
          <w:color w:val="1F4E79"/>
          <w:sz w:val="17"/>
          <w:szCs w:val="17"/>
        </w:rPr>
        <w:t xml:space="preserve"> [S1]</w:t>
      </w:r>
      <w:r>
        <w:t xml:space="preserve">. Among industries with available data, coal and coke briquetting, pottery, textile and food processing are the major coal users </w:t>
      </w:r>
      <w:r>
        <w:rPr>
          <w:b/>
          <w:bCs/>
          <w:color w:val="1F4E79"/>
          <w:sz w:val="17"/>
          <w:szCs w:val="17"/>
        </w:rPr>
        <w:t xml:space="preserve"> [S1]</w:t>
      </w:r>
      <w:r>
        <w:t xml:space="preserve">.</w:t>
      </w:r>
    </w:p>
    <w:p>
      <w:pPr>
        <w:spacing w:after="120" w:line="288"/>
        <w:jc w:val="left"/>
      </w:pPr>
      <w:r>
        <w:rPr>
          <w:b/>
          <w:bCs/>
        </w:rPr>
        <w:t xml:space="preserve">Limits stated by the authors.</w:t>
      </w:r>
      <w:r>
        <w:t xml:space="preserve"> Industry-wise data were not public for petroleum products or natural gas, and available for only 55% of coal (45.7 Mt of 80.79 Mt in 2015–16, mostly in five states) </w:t>
      </w:r>
      <w:r>
        <w:rPr>
          <w:b/>
          <w:bCs/>
          <w:color w:val="1F4E79"/>
          <w:sz w:val="17"/>
          <w:szCs w:val="17"/>
        </w:rPr>
        <w:t xml:space="preserve"> [S1]</w:t>
      </w:r>
      <w:r>
        <w:t xml:space="preserve">. Recommendations are efficiency policies like those for energy-intensive sectors, more renewable energy, and a transparent monitoring system that records industry-wise fuel use </w:t>
      </w:r>
      <w:r>
        <w:rPr>
          <w:b/>
          <w:bCs/>
          <w:color w:val="1F4E79"/>
          <w:sz w:val="17"/>
          <w:szCs w:val="17"/>
        </w:rPr>
        <w:t xml:space="preserve"> [S1]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B" w:color="auto" w:val="clear"/>
            <w:tcMar>
              <w:top w:type="dxa" w:w="100"/>
              <w:left w:type="dxa" w:w="160"/>
              <w:bottom w:type="dxa" w:w="100"/>
              <w:right w:type="dxa" w:w="160"/>
            </w:tcMar>
          </w:tcPr>
          <w:p>
            <w:pPr>
              <w:spacing w:after="60"/>
            </w:pPr>
            <w:r>
              <w:rPr>
                <w:b/>
                <w:bCs/>
                <w:color w:val="1F4E79"/>
                <w:sz w:val="21"/>
                <w:szCs w:val="21"/>
              </w:rPr>
              <w:t xml:space="preserve">Use in GreenEIS</w:t>
            </w:r>
          </w:p>
          <w:p>
            <w:pPr>
              <w:spacing w:after="60"/>
            </w:pPr>
            <w:r>
              <w:rPr>
                <w:sz w:val="20"/>
                <w:szCs w:val="20"/>
              </w:rPr>
              <w:t xml:space="preserve">CSTEP’s emission-factor tables and NCVs form the default library of the GreenEIS calculation engine (Appendix A, Table A.5). Its call for “industry-wise fuel-consumption monitoring” is the policy justification for a factory-level data-entry tool.</w:t>
            </w:r>
          </w:p>
        </w:tc>
      </w:tr>
    </w:tbl>
    <w:p>
      <w:pPr>
        <w:pStyle w:val="Heading2"/>
        <w:keepNext/>
      </w:pPr>
      <w:r>
        <w:t xml:space="preserve">3.2 CEEW (2018): Greenhouse Gases Emission Estimates for the Informal Manufacturing Industry of India {S2}</w:t>
      </w:r>
    </w:p>
    <w:p>
      <w:pPr>
        <w:spacing w:after="120" w:line="288"/>
        <w:jc w:val="left"/>
      </w:pPr>
      <w:r>
        <w:rPr>
          <w:b/>
          <w:bCs/>
        </w:rPr>
        <w:t xml:space="preserve">Who and what.</w:t>
      </w:r>
      <w:r>
        <w:t xml:space="preserve"> An issue brief by Tirtha Biswas, Karthik Ganesan and Vaibhav Gupta of the Council on Energy, Environment and Water (CEEW), part of GHG Platform India and supported by Shakti Sustainable Energy Foundation, peer-reviewed by Prayas (Energy Group) and the MoEFCC National Communication Cell </w:t>
      </w:r>
      <w:r>
        <w:rPr>
          <w:b/>
          <w:bCs/>
          <w:color w:val="1F4E79"/>
          <w:sz w:val="17"/>
          <w:szCs w:val="17"/>
        </w:rPr>
        <w:t xml:space="preserve"> [S2]</w:t>
      </w:r>
      <w:r>
        <w:t xml:space="preserve">.</w:t>
      </w:r>
    </w:p>
    <w:p>
      <w:pPr>
        <w:spacing w:after="120" w:line="288"/>
        <w:jc w:val="left"/>
      </w:pPr>
      <w:r>
        <w:rPr>
          <w:b/>
          <w:bCs/>
        </w:rPr>
        <w:t xml:space="preserve">Method.</w:t>
      </w:r>
      <w:r>
        <w:t xml:space="preserve"> Because no official fuel data exist for the unorganised sector, CEEW uses an indirect “labour input method”. Gross value added (GVA) of informal units is estimated as value added per worker for each industry multiplied by informal employment (Equation 1 of the brief). Fuel expenditure is then estimated by applying the ratio of fuel expenditure to GVA observed for MSMEs in the Annual Survey of Industries (ASI) (Equation 2), on the assumption that units in the same industry have similar energy efficiency regardless of registration status. Fuel expenditure is apportioned to fuels using the ASI fuel mix, converted to quantities with representative prices, and multiplied by calorific values and emission factors </w:t>
      </w:r>
      <w:r>
        <w:rPr>
          <w:b/>
          <w:bCs/>
          <w:color w:val="1F4E79"/>
          <w:sz w:val="17"/>
          <w:szCs w:val="17"/>
        </w:rPr>
        <w:t xml:space="preserve"> [S2]</w:t>
      </w:r>
      <w:r>
        <w:t xml:space="preserve">. Only fuel emissions are included; process emissions are excluded </w:t>
      </w:r>
      <w:r>
        <w:rPr>
          <w:b/>
          <w:bCs/>
          <w:color w:val="1F4E79"/>
          <w:sz w:val="17"/>
          <w:szCs w:val="17"/>
        </w:rPr>
        <w:t xml:space="preserve"> [S2]</w:t>
      </w:r>
      <w:r>
        <w:t xml:space="preserve">. Interactions with units in clusters such as Faridabad, Agra, Firozabad, Ludhiana, Ankleswar, Tarapur and Kolkata supported the assumption of low technology and little input variation </w:t>
      </w:r>
      <w:r>
        <w:rPr>
          <w:b/>
          <w:bCs/>
          <w:color w:val="1F4E79"/>
          <w:sz w:val="17"/>
          <w:szCs w:val="17"/>
        </w:rPr>
        <w:t xml:space="preserve"> [S2]</w:t>
      </w:r>
      <w:r>
        <w:t xml:space="preserve">.</w:t>
      </w:r>
    </w:p>
    <w:p>
      <w:pPr>
        <w:spacing w:after="120" w:line="288"/>
        <w:jc w:val="left"/>
      </w:pPr>
      <w:r>
        <w:rPr>
          <w:b/>
          <w:bCs/>
        </w:rPr>
        <w:t xml:space="preserve">Findings.</w:t>
      </w:r>
      <w:r>
        <w:t xml:space="preserve"> Emissions from primary energy rose from 32 to 105 MtCO2e between 2005–06 and 2015–16, led by coal. In 2005–06 the top coal users were non-metallic minerals (22%, dominated by bricks), textile finishing and dyeing (18%) and food products (16%). By 2015–16 brick kilns alone accounted for about 49% (26 Mt) of estimated informal coal use, while textile dyeing and food units moved away from coal, for example from coal to petroleum coke in the Faridabad cluster because of price and consistent quality </w:t>
      </w:r>
      <w:r>
        <w:rPr>
          <w:b/>
          <w:bCs/>
          <w:color w:val="1F4E79"/>
          <w:sz w:val="17"/>
          <w:szCs w:val="17"/>
        </w:rPr>
        <w:t xml:space="preserve"> [S2]</w:t>
      </w:r>
      <w:r>
        <w:t xml:space="preserve">.</w:t>
      </w:r>
    </w:p>
    <w:p>
      <w:pPr>
        <w:spacing w:after="120" w:line="288"/>
        <w:jc w:val="left"/>
      </w:pPr>
      <w:r>
        <w:rPr>
          <w:b/>
          <w:bCs/>
        </w:rPr>
        <w:t xml:space="preserve">Validation and caveats.</w:t>
      </w:r>
      <w:r>
        <w:t xml:space="preserve"> CEEW tested its method on the brick industry and found its 26 Mt estimate far below other studies (35–69 Mt), attributing the shortfall to employment under-reporting in the NSS 73rd round (about 1.8 million workers against 9–10 million in the CPCB study) </w:t>
      </w:r>
      <w:r>
        <w:rPr>
          <w:b/>
          <w:bCs/>
          <w:color w:val="1F4E79"/>
          <w:sz w:val="17"/>
          <w:szCs w:val="17"/>
        </w:rPr>
        <w:t xml:space="preserve"> [S2]</w:t>
      </w:r>
      <w:r>
        <w:t xml:space="preserve">. Supply-side and demand-side coal totals for manufacturing differ by 10–15% </w:t>
      </w:r>
      <w:r>
        <w:rPr>
          <w:b/>
          <w:bCs/>
          <w:color w:val="1F4E79"/>
          <w:sz w:val="17"/>
          <w:szCs w:val="17"/>
        </w:rPr>
        <w:t xml:space="preserve"> [S2]</w:t>
      </w:r>
      <w:r>
        <w:t xml:space="preserve">. The authors call for annual data collection similar to ASI or an integrated informal-sector survey with better data validation </w:t>
      </w:r>
      <w:r>
        <w:rPr>
          <w:b/>
          <w:bCs/>
          <w:color w:val="1F4E79"/>
          <w:sz w:val="17"/>
          <w:szCs w:val="17"/>
        </w:rPr>
        <w:t xml:space="preserve"> [S2]</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B" w:color="auto" w:val="clear"/>
            <w:tcMar>
              <w:top w:type="dxa" w:w="100"/>
              <w:left w:type="dxa" w:w="160"/>
              <w:bottom w:type="dxa" w:w="100"/>
              <w:right w:type="dxa" w:w="160"/>
            </w:tcMar>
          </w:tcPr>
          <w:p>
            <w:pPr>
              <w:spacing w:after="60"/>
            </w:pPr>
            <w:r>
              <w:rPr>
                <w:b/>
                <w:bCs/>
                <w:color w:val="1F4E79"/>
                <w:sz w:val="21"/>
                <w:szCs w:val="21"/>
              </w:rPr>
              <w:t xml:space="preserve">Use in GreenEIS</w:t>
            </w:r>
          </w:p>
          <w:p>
            <w:pPr>
              <w:spacing w:after="60"/>
            </w:pPr>
            <w:r>
              <w:rPr>
                <w:sz w:val="20"/>
                <w:szCs w:val="20"/>
              </w:rPr>
              <w:t xml:space="preserve">CEEW provides the strongest argument for a trust score: even rigorous top-down methods carry large, partly unquantifiable uncertainty because inputs are self-reported or recalled. It also provides sector-level benchmarks (Appendix B) that can seed default values when a factory has no data.</w:t>
            </w:r>
          </w:p>
        </w:tc>
      </w:tr>
    </w:tbl>
    <w:p>
      <w:pPr>
        <w:pStyle w:val="Heading2"/>
        <w:keepNext/>
      </w:pPr>
      <w:r>
        <w:t xml:space="preserve">3.3 CSTEP (2024–25): MSME decarbonisation project and report {S4, S5, S6, S7}</w:t>
      </w:r>
    </w:p>
    <w:p>
      <w:pPr>
        <w:spacing w:after="120" w:line="288"/>
        <w:jc w:val="left"/>
      </w:pPr>
      <w:r>
        <w:rPr>
          <w:b/>
          <w:bCs/>
        </w:rPr>
        <w:t xml:space="preserve">Scope.</w:t>
      </w:r>
      <w:r>
        <w:t xml:space="preserve"> A two-year scoping study assessed technical feasibility and financial viability of deep decarbonisation technologies in seven energy- and emission-intensive clusters covering 66 MSME units in five sectors </w:t>
      </w:r>
      <w:r>
        <w:rPr>
          <w:b/>
          <w:bCs/>
          <w:color w:val="1F4E79"/>
          <w:sz w:val="17"/>
          <w:szCs w:val="17"/>
        </w:rPr>
        <w:t xml:space="preserve"> [S5, S7]</w:t>
      </w:r>
      <w:r>
        <w:t xml:space="preserve">. The clusters named in the publication’s documents are Tiruppur, Ludhiana, Delhi, Coimbatore, Bengaluru, Asansol and Alathur </w:t>
      </w:r>
      <w:r>
        <w:rPr>
          <w:b/>
          <w:bCs/>
          <w:color w:val="1F4E79"/>
          <w:sz w:val="17"/>
          <w:szCs w:val="17"/>
        </w:rPr>
        <w:t xml:space="preserve"> [S5]</w:t>
      </w:r>
      <w:r>
        <w:t xml:space="preserve">. The four-step approach was energy and emissions profiling, techno-economic assessment of energy efficiency (EE), renewable energy (RE), solar thermal and advanced technologies, cluster-specific savings and financial returns, and policy and institutional mapping </w:t>
      </w:r>
      <w:r>
        <w:rPr>
          <w:b/>
          <w:bCs/>
          <w:color w:val="1F4E79"/>
          <w:sz w:val="17"/>
          <w:szCs w:val="17"/>
        </w:rPr>
        <w:t xml:space="preserve"> [S4]</w:t>
      </w:r>
      <w:r>
        <w:t xml:space="preserve">.</w:t>
      </w:r>
    </w:p>
    <w:p>
      <w:pPr>
        <w:spacing w:after="120" w:line="288"/>
        <w:jc w:val="left"/>
      </w:pPr>
      <w:r>
        <w:rPr>
          <w:b/>
          <w:bCs/>
        </w:rPr>
        <w:t xml:space="preserve">Results.</w:t>
      </w:r>
      <w:r>
        <w:t xml:space="preserve"> Combined measures could save 136,581 tCO2, 385,383 GJ of energy and INR 37 crore; all clusters showed lower energy costs except Asansol (Asansol-Chirkunda) </w:t>
      </w:r>
      <w:r>
        <w:rPr>
          <w:b/>
          <w:bCs/>
          <w:color w:val="1F4E79"/>
          <w:sz w:val="17"/>
          <w:szCs w:val="17"/>
        </w:rPr>
        <w:t xml:space="preserve"> [S5, S7]</w:t>
      </w:r>
      <w:r>
        <w:t xml:space="preserve">. The highest-saving efficiency measures were electric drives and HVAC in pharmaceuticals, boilers and thermic-fluid heaters in textiles, furnaces and die-casting machines in aluminium die-casting, kilns in refractories and ovens in bakeries </w:t>
      </w:r>
      <w:r>
        <w:rPr>
          <w:b/>
          <w:bCs/>
          <w:color w:val="1F4E79"/>
          <w:sz w:val="17"/>
          <w:szCs w:val="17"/>
        </w:rPr>
        <w:t xml:space="preserve"> [S7]</w:t>
      </w:r>
      <w:r>
        <w:t xml:space="preserve">. Examples of technology-specific findings: an electric resistance furnace beats piped-natural-gas furnaces in aluminium die-casting on efficiency, cost and emissions; electric boilers are not financially viable for the pharmaceutical cluster because of capital cost and low utilisation; an electric kiln in refractories cuts emissions by 29% but high capital cost blocks viability; bio-CNG and biodiesel blending are viable fuels; and green-hydrogen boilers reduce emissions but are held back by fuel and equipment cost </w:t>
      </w:r>
      <w:r>
        <w:rPr>
          <w:b/>
          <w:bCs/>
          <w:color w:val="1F4E79"/>
          <w:sz w:val="17"/>
          <w:szCs w:val="17"/>
        </w:rPr>
        <w:t xml:space="preserve"> [S7]</w:t>
      </w:r>
      <w:r>
        <w:t xml:space="preserve">. In Bengaluru, pressure die-casting offered the largest energy saving (4.36%), and in Delhi, furnaces (3.35%) </w:t>
      </w:r>
      <w:r>
        <w:rPr>
          <w:b/>
          <w:bCs/>
          <w:color w:val="1F4E79"/>
          <w:sz w:val="17"/>
          <w:szCs w:val="17"/>
        </w:rPr>
        <w:t xml:space="preserve"> [S7]</w:t>
      </w:r>
      <w:r>
        <w:t xml:space="preserve">. Solar-thermal systems emerge as promising for low- and medium-temperature process heat, especially with heat recovery and efficiency upgrades, and efficiency alone is judged insufficient for deep decarbonisation </w:t>
      </w:r>
      <w:r>
        <w:rPr>
          <w:b/>
          <w:bCs/>
          <w:color w:val="1F4E79"/>
          <w:sz w:val="17"/>
          <w:szCs w:val="17"/>
        </w:rPr>
        <w:t xml:space="preserve"> [S4]</w:t>
      </w:r>
      <w:r>
        <w:t xml:space="preserve">.</w:t>
      </w:r>
    </w:p>
    <w:p>
      <w:pPr>
        <w:spacing w:after="120" w:line="288"/>
        <w:jc w:val="left"/>
      </w:pPr>
      <w:r>
        <w:rPr>
          <w:b/>
          <w:bCs/>
        </w:rPr>
        <w:t xml:space="preserve">Policy asks.</w:t>
      </w:r>
      <w:r>
        <w:t xml:space="preserve"> State-level MSME policies with emission-reduction targets, stronger supply chains for biofuels and clean-thermal technology, better access to rooftop and open-access renewable energy, financial incentives, awareness programmes and cluster demonstration projects </w:t>
      </w:r>
      <w:r>
        <w:rPr>
          <w:b/>
          <w:bCs/>
          <w:color w:val="1F4E79"/>
          <w:sz w:val="17"/>
          <w:szCs w:val="17"/>
        </w:rPr>
        <w:t xml:space="preserve"> [S4, S7]</w:t>
      </w:r>
      <w:r>
        <w:t xml:space="preserve">. The study also notes differences between clusters (for example, Delhi-NCR relies more on natural-gas furnaces and Bengaluru on electric furnaces), so roadmaps must be tailored to each location </w:t>
      </w:r>
      <w:r>
        <w:rPr>
          <w:b/>
          <w:bCs/>
          <w:color w:val="1F4E79"/>
          <w:sz w:val="17"/>
          <w:szCs w:val="17"/>
        </w:rPr>
        <w:t xml:space="preserve"> [S7]</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B" w:color="auto" w:val="clear"/>
            <w:tcMar>
              <w:top w:type="dxa" w:w="100"/>
              <w:left w:type="dxa" w:w="160"/>
              <w:bottom w:type="dxa" w:w="100"/>
              <w:right w:type="dxa" w:w="160"/>
            </w:tcMar>
          </w:tcPr>
          <w:p>
            <w:pPr>
              <w:spacing w:after="60"/>
            </w:pPr>
            <w:r>
              <w:rPr>
                <w:b/>
                <w:bCs/>
                <w:color w:val="1F4E79"/>
                <w:sz w:val="21"/>
                <w:szCs w:val="21"/>
              </w:rPr>
              <w:t xml:space="preserve">Use in GreenEIS</w:t>
            </w:r>
          </w:p>
          <w:p>
            <w:pPr>
              <w:spacing w:after="60"/>
            </w:pPr>
            <w:r>
              <w:rPr>
                <w:sz w:val="20"/>
                <w:szCs w:val="20"/>
              </w:rPr>
              <w:t xml:space="preserve">These findings supply the content of the recommendation module and the scenario library for the what-if simulator: each technology option can be stored with its typical energy and emission effect, plus a caveat on capital cost. Because cluster results differ, recommendations should be filtered by industry and fuel type, not shown generically.</w:t>
            </w:r>
          </w:p>
        </w:tc>
      </w:tr>
    </w:tbl>
    <w:p>
      <w:pPr>
        <w:pStyle w:val="Heading2"/>
        <w:keepNext/>
      </w:pPr>
      <w:r>
        <w:t xml:space="preserve">3.4 Down To Earth (2022): MSME emissions and climate finance {S3}</w:t>
      </w:r>
    </w:p>
    <w:p>
      <w:pPr>
        <w:spacing w:after="120" w:line="288"/>
        <w:jc w:val="left"/>
      </w:pPr>
      <w:r>
        <w:t xml:space="preserve">Divyansh Upadhyay’s article, published on 20 June 2022, links CSTEP’s emission estimate to India’s COP26 commitments and argues that traditional finance cannot decarbonise MSMEs. Its relevant content is summarised in Section 2.4: the credit gap, the 16% formal-finance share, the three barriers to climate finance, and views from a MoEFCC official (blended and incentive-based finance, digital finance) and SIDBI (blending financial and technological solutions) reported from a 14 June roundtable </w:t>
      </w:r>
      <w:r>
        <w:rPr>
          <w:b/>
          <w:bCs/>
          <w:color w:val="1F4E79"/>
          <w:sz w:val="17"/>
          <w:szCs w:val="17"/>
        </w:rPr>
        <w:t xml:space="preserve"> [S3]</w:t>
      </w:r>
      <w:r>
        <w:t xml:space="preserve">. It also argues that the major focus should be accelerated decarbonisation levers such as cleaner fuel, common combustion facilities and energy-efficiency technologies </w:t>
      </w:r>
      <w:r>
        <w:rPr>
          <w:b/>
          <w:bCs/>
          <w:color w:val="1F4E79"/>
          <w:sz w:val="17"/>
          <w:szCs w:val="17"/>
        </w:rPr>
        <w:t xml:space="preserve"> [S3]</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B" w:color="auto" w:val="clear"/>
            <w:tcMar>
              <w:top w:type="dxa" w:w="100"/>
              <w:left w:type="dxa" w:w="160"/>
              <w:bottom w:type="dxa" w:w="100"/>
              <w:right w:type="dxa" w:w="160"/>
            </w:tcMar>
          </w:tcPr>
          <w:p>
            <w:pPr>
              <w:spacing w:after="60"/>
            </w:pPr>
            <w:r>
              <w:rPr>
                <w:b/>
                <w:bCs/>
                <w:color w:val="1F4E79"/>
                <w:sz w:val="21"/>
                <w:szCs w:val="21"/>
              </w:rPr>
              <w:t xml:space="preserve">Use in GreenEIS</w:t>
            </w:r>
          </w:p>
          <w:p>
            <w:pPr>
              <w:spacing w:after="60"/>
            </w:pPr>
            <w:r>
              <w:rPr>
                <w:sz w:val="20"/>
                <w:szCs w:val="20"/>
              </w:rPr>
              <w:t xml:space="preserve">The article’s barrier list implies a design requirement: GreenEIS should generate the simple emission and energy summary that lenders and climate-finance programmes ask for, in a format a micro-unit can prepare without hiring an auditor. This is the justification for the one-page summary report.</w:t>
            </w:r>
          </w:p>
        </w:tc>
      </w:tr>
    </w:tbl>
    <w:p>
      <w:pPr>
        <w:pStyle w:val="Heading2"/>
        <w:keepNext/>
      </w:pPr>
      <w:r>
        <w:t xml:space="preserve">3.5 Your project note: “GreenEIS in Simple Words” {S8}</w:t>
      </w:r>
    </w:p>
    <w:p>
      <w:pPr>
        <w:spacing w:after="120" w:line="288"/>
        <w:jc w:val="left"/>
      </w:pPr>
      <w:r>
        <w:t xml:space="preserve">The explanation note you uploaded defines the problem (scattered data and no way to see where pollution and cost come from), the impact (wasted money, lost orders when buyers ask suppliers for emission data, wrong decisions, environmental damage), and the output (a monthly-entry dashboard with total emissions, a trust score, hotspots, a cost link, a what-if simulator and a short summary report). The evidence in this document supports each of those claims; Section 5 maps them.</w:t>
      </w:r>
    </w:p>
    <w:p>
      <w:pPr>
        <w:pStyle w:val="Heading2"/>
        <w:keepNext/>
      </w:pPr>
      <w:r>
        <w:t xml:space="preserve">3.6 Supporting research and technical literature</w:t>
      </w:r>
    </w:p>
    <w:p>
      <w:pPr>
        <w:spacing w:after="120" w:line="288"/>
        <w:jc w:val="left"/>
      </w:pPr>
      <w:r>
        <w:t xml:space="preserve">To place GreenEIS in the wider literature, the following additional sources were located online. Sources S9–S21 are listed in full in the Source Register.</w:t>
      </w:r>
    </w:p>
    <w:p>
      <w:pPr>
        <w:keepNext/>
        <w:spacing w:after="60" w:before="120"/>
      </w:pPr>
      <w:r>
        <w:rPr>
          <w:i/>
          <w:iCs/>
          <w:color w:val="404040"/>
          <w:sz w:val="18"/>
          <w:szCs w:val="18"/>
        </w:rPr>
        <w:t xml:space="preserve">Table 3.1: Supporting literature and how GreenEIS uses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Source</w:t>
            </w:r>
          </w:p>
        </w:tc>
        <w:tc>
          <w:tcPr>
            <w:tcW w:type="dxa" w:w="3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What it contributes</w:t>
            </w:r>
          </w:p>
        </w:tc>
        <w:tc>
          <w:tcPr>
            <w:tcW w:type="dxa" w:w="27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Use in GreenEIS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GHG Protocol: Quantitative Inventory Uncertainty guidance </w:t>
            </w:r>
            <w:r>
              <w:rPr>
                <w:b/>
                <w:bCs/>
                <w:color w:val="1F4E79"/>
                <w:sz w:val="17"/>
                <w:szCs w:val="17"/>
              </w:rPr>
              <w:t xml:space="preserve"> [S9]</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Identifies activity data, emission factors and GWP values as the sources of inventory uncertainty; describes a pedigree-matrix approach in which data-quality indicators are converted to uncertainty factors, and Monte Carlo propagation.</w:t>
            </w:r>
          </w:p>
        </w:tc>
        <w:tc>
          <w:tcPr>
            <w:tcW w:type="dxa" w:w="27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Basis for the trust score and the optional uncertainty range (Section 6.5).</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Kuo et al. (2015), Int. J. Precision Eng. and Manufacturing-Green Tech. </w:t>
            </w:r>
            <w:r>
              <w:rPr>
                <w:b/>
                <w:bCs/>
                <w:color w:val="1F4E79"/>
                <w:sz w:val="17"/>
                <w:szCs w:val="17"/>
              </w:rPr>
              <w:t xml:space="preserve"> [S10]</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Applies a data-quality-indicator system and pedigree matrix to carbon and water footprints; indicators cover reliability, completeness, time, geography and technology differences.</w:t>
            </w:r>
          </w:p>
        </w:tc>
        <w:tc>
          <w:tcPr>
            <w:tcW w:type="dxa" w:w="27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Defines the five dimensions from which a simple measured / estimated / default score can be justified.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Scope 3 assessment for manufacturing SMEs, Childe et al. (2026) </w:t>
            </w:r>
            <w:r>
              <w:rPr>
                <w:b/>
                <w:bCs/>
                <w:color w:val="1F4E79"/>
                <w:sz w:val="17"/>
                <w:szCs w:val="17"/>
              </w:rPr>
              <w:t xml:space="preserve"> [S11]</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Case studies show limited supplier data, estimation and double-counting hinder accuracy, yet hotspots can still be identified; a qualitative approach may suit SMEs better than precise accounting.</w:t>
            </w:r>
          </w:p>
        </w:tc>
        <w:tc>
          <w:tcPr>
            <w:tcW w:type="dxa" w:w="27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Supports hotspot-first design and the idea that approximate-but-labelled numbers are acceptable.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Digital reporting features for SME emissions disclosure </w:t>
            </w:r>
            <w:r>
              <w:rPr>
                <w:b/>
                <w:bCs/>
                <w:color w:val="1F4E79"/>
                <w:sz w:val="17"/>
                <w:szCs w:val="17"/>
              </w:rPr>
              <w:t xml:space="preserve"> [S12]</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Finds SMEs lack infrastructure, expertise and resources; recommends features for verifiable, consistent and machine-readable reporting.</w:t>
            </w:r>
          </w:p>
        </w:tc>
        <w:tc>
          <w:tcPr>
            <w:tcW w:type="dxa" w:w="27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Informs the data-entry design and exportable report.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AI-assisted emission reporting for SMEs </w:t>
            </w:r>
            <w:r>
              <w:rPr>
                <w:b/>
                <w:bCs/>
                <w:color w:val="1F4E79"/>
                <w:sz w:val="17"/>
                <w:szCs w:val="17"/>
              </w:rPr>
              <w:t xml:space="preserve"> [S13]</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Describes barriers: awareness, no dedicated staff, lack of data and collection tools, reluctance to digitise; notes commercial tools exist.</w:t>
            </w:r>
          </w:p>
        </w:tc>
        <w:tc>
          <w:tcPr>
            <w:tcW w:type="dxa" w:w="27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Supports a minimal, guided monthly-entry form.</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Carbon accounting in Sri Lankan SMEs </w:t>
            </w:r>
            <w:r>
              <w:rPr>
                <w:b/>
                <w:bCs/>
                <w:color w:val="1F4E79"/>
                <w:sz w:val="17"/>
                <w:szCs w:val="17"/>
              </w:rPr>
              <w:t xml:space="preserve"> [S14]</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Awareness is rising but adoption low; barriers are technology, finance and expertise; exporters adopt more because of external pressure.</w:t>
            </w:r>
          </w:p>
        </w:tc>
        <w:tc>
          <w:tcPr>
            <w:tcW w:type="dxa" w:w="27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Supports the “lost orders” argument and the target-user choice.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T20 brief on automated carbon accounting for SMEs </w:t>
            </w:r>
            <w:r>
              <w:rPr>
                <w:b/>
                <w:bCs/>
                <w:color w:val="1F4E79"/>
                <w:sz w:val="17"/>
                <w:szCs w:val="17"/>
              </w:rPr>
              <w:t xml:space="preserve"> [S15]</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Argues SMEs without carbon-accounting capability risk losing contracts, and explores automation from digital transaction data.</w:t>
            </w:r>
          </w:p>
        </w:tc>
        <w:tc>
          <w:tcPr>
            <w:tcW w:type="dxa" w:w="27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Future extension: reading data from bills and invoices.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CEA CO2 Baseline Database </w:t>
            </w:r>
            <w:r>
              <w:rPr>
                <w:b/>
                <w:bCs/>
                <w:color w:val="1F4E79"/>
                <w:sz w:val="17"/>
                <w:szCs w:val="17"/>
              </w:rPr>
              <w:t xml:space="preserve"> [S16]</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Official grid emission factors for India, with average, operating-margin, build-margin and combined-margin definitions.</w:t>
            </w:r>
          </w:p>
        </w:tc>
        <w:tc>
          <w:tcPr>
            <w:tcW w:type="dxa" w:w="27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Default factor for purchased electricity (Scope 2).</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Zocca et al. (2018) </w:t>
            </w:r>
            <w:r>
              <w:rPr>
                <w:b/>
                <w:bCs/>
                <w:color w:val="1F4E79"/>
                <w:sz w:val="17"/>
                <w:szCs w:val="17"/>
              </w:rPr>
              <w:t xml:space="preserve"> [S18]</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 simple computational tool for agri-food SMEs that predicts scenarios balancing energy cost and GHG emissions and shows results graphically.</w:t>
            </w:r>
          </w:p>
        </w:tc>
        <w:tc>
          <w:tcPr>
            <w:tcW w:type="dxa" w:w="27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Direct precedent for the cost-emission what-if simulator.</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NIST IR 7850 (2012) </w:t>
            </w:r>
            <w:r>
              <w:rPr>
                <w:b/>
                <w:bCs/>
                <w:color w:val="1F4E79"/>
                <w:sz w:val="17"/>
                <w:szCs w:val="17"/>
              </w:rPr>
              <w:t xml:space="preserve"> [S19]</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A decision-guidance database system supporting what-if analysis for sustainable manufacturing, with a graphical interface for decision makers.</w:t>
            </w:r>
          </w:p>
        </w:tc>
        <w:tc>
          <w:tcPr>
            <w:tcW w:type="dxa" w:w="27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Supports the scenario-simulator architecture.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Helo and Mayanti (2024) </w:t>
            </w:r>
            <w:r>
              <w:rPr>
                <w:b/>
                <w:bCs/>
                <w:color w:val="1F4E79"/>
                <w:sz w:val="17"/>
                <w:szCs w:val="17"/>
              </w:rPr>
              <w:t xml:space="preserve"> [S20]</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 simulator showing that energy-cost and emission objectives can conflict under varying grid prices and carbon intensity.</w:t>
            </w:r>
          </w:p>
        </w:tc>
        <w:tc>
          <w:tcPr>
            <w:tcW w:type="dxa" w:w="27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Justifies showing cost and emissions side by side.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Context-based decision support for industrial energy efficiency, Sustainability (2022) </w:t>
            </w:r>
            <w:r>
              <w:rPr>
                <w:b/>
                <w:bCs/>
                <w:color w:val="1F4E79"/>
                <w:sz w:val="17"/>
                <w:szCs w:val="17"/>
              </w:rPr>
              <w:t xml:space="preserve"> [S21]</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A decision-support system reduced energy use and CO2 and raised awareness of the effect of small actions.</w:t>
            </w:r>
          </w:p>
        </w:tc>
        <w:tc>
          <w:tcPr>
            <w:tcW w:type="dxa" w:w="27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Supports the behaviour-change value of a simple dashboard.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Commercial SME carbon tools </w:t>
            </w:r>
            <w:r>
              <w:rPr>
                <w:b/>
                <w:bCs/>
                <w:color w:val="1F4E79"/>
                <w:sz w:val="17"/>
                <w:szCs w:val="17"/>
              </w:rPr>
              <w:t xml:space="preserve"> [S22]</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Examples such as the EcoVadis Carbon Estimator, aimed at SMEs, estimate emissions without detailed activity data, and free carbon-accounting platforms for small businesses.</w:t>
            </w:r>
          </w:p>
        </w:tc>
        <w:tc>
          <w:tcPr>
            <w:tcW w:type="dxa" w:w="27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Shows the market and the “default value” category of data.</w:t>
            </w:r>
          </w:p>
        </w:tc>
      </w:tr>
    </w:tbl>
    <w:p>
      <w:pPr>
        <w:spacing w:after="160" w:before="60"/>
      </w:pPr>
      <w:r>
        <w:rPr>
          <w:i/>
          <w:iCs/>
          <w:color w:val="404040"/>
          <w:sz w:val="17"/>
          <w:szCs w:val="17"/>
        </w:rPr>
        <w:t xml:space="preserve">Source type matters: S9–S21 are academic, standards-body, government or institutional documents; S22 draws on vendor material and should be treated as an illustration of the market, not as evidence of effectiveness. Several retrieved texts were abstracts or partial extracts; read the originals before quoting in a formal report.</w:t>
      </w:r>
    </w:p>
    <w:p>
      <w:pPr>
        <w:pStyle w:val="Heading1"/>
        <w:pageBreakBefore/>
      </w:pPr>
      <w:r>
        <w:t xml:space="preserve">4. What the Published Data Reveal</w:t>
      </w:r>
    </w:p>
    <w:p>
      <w:pPr>
        <w:spacing w:after="120" w:line="288"/>
        <w:jc w:val="left"/>
      </w:pPr>
      <w:r>
        <w:t xml:space="preserve">This section works with the numbers themselves. It reproduces CSTEP’s year-wise results in a combined form, compares the two main estimates, and reports consistency checks run on the published tables. The checks are part of the argument for GreenEIS: even published, peer-reviewed-style studies contain gaps and apparent inconsistencies, so a tool for factories must show how much confidence each number deserves.</w:t>
      </w:r>
    </w:p>
    <w:p>
      <w:pPr>
        <w:pStyle w:val="Heading2"/>
        <w:keepNext/>
      </w:pPr>
      <w:r>
        <w:t xml:space="preserve">4.1 Combined year-wise emissions from CSTEP’s tables {S1}</w:t>
      </w:r>
    </w:p>
    <w:p>
      <w:pPr>
        <w:spacing w:after="120" w:line="288"/>
        <w:jc w:val="left"/>
      </w:pPr>
      <w:r>
        <w:t xml:space="preserve">CSTEP presents solid-fuel results in Table 5 and petroleum and gas results in Table 8, and summarises them graphically in Figure 5, but it does not print one combined series. The table below adds the published values </w:t>
      </w:r>
      <w:r>
        <w:rPr>
          <w:i/>
          <w:iCs/>
          <w:color w:val="7030A0"/>
          <w:sz w:val="17"/>
          <w:szCs w:val="17"/>
        </w:rPr>
        <w:t xml:space="preserve"> [Derived analysis]</w:t>
      </w:r>
      <w:r>
        <w:t xml:space="preserve">. The totals for 2008–09 (92.8) and 2010–11 (113.1) agree with the report’s own comparison figures of 93 and 113 MtCO2e (Table 9 of the report), which suggests the addition is faithful </w:t>
      </w:r>
      <w:r>
        <w:rPr>
          <w:b/>
          <w:bCs/>
          <w:color w:val="1F4E79"/>
          <w:sz w:val="17"/>
          <w:szCs w:val="17"/>
        </w:rPr>
        <w:t xml:space="preserve"> [S1]</w:t>
      </w:r>
      <w:r>
        <w:t xml:space="preserve">.</w:t>
      </w:r>
    </w:p>
    <w:p>
      <w:pPr>
        <w:keepNext/>
        <w:spacing w:after="60" w:before="120"/>
      </w:pPr>
      <w:r>
        <w:rPr>
          <w:i/>
          <w:iCs/>
          <w:color w:val="404040"/>
          <w:sz w:val="18"/>
          <w:szCs w:val="18"/>
        </w:rPr>
        <w:t xml:space="preserve">Table 4.1: Informal-sector emissions by fuel group, MtCO2e (sums of CSTEP Tables 5 and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26"/>
        <w:gridCol w:w="1100"/>
        <w:gridCol w:w="1200"/>
        <w:gridCol w:w="1300"/>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Year</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8"/>
                <w:szCs w:val="18"/>
              </w:rPr>
              <w:t xml:space="preserve">Solid fuels (coal, lignite, coking)</w:t>
            </w:r>
          </w:p>
        </w:tc>
        <w:tc>
          <w:tcPr>
            <w:tcW w:type="dxa" w:w="2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8"/>
                <w:szCs w:val="18"/>
              </w:rPr>
              <w:t xml:space="preserve">Liquid fuels (LPG, naphtha, kerosene, diesel, LDO, FO, LSHS)</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8"/>
                <w:szCs w:val="18"/>
              </w:rPr>
              <w:t xml:space="preserve">Natural gas</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8"/>
                <w:szCs w:val="18"/>
              </w:rPr>
              <w:t xml:space="preserve">Total</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8"/>
                <w:szCs w:val="18"/>
              </w:rPr>
              <w:t xml:space="preserve">Solid-fuel share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2008–09</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63.18</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23.01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6.60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92.79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68.09%</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2009–10</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72.64</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20.53</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14.03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107.20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67.76%</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2010–11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76.67</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21.84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14.56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113.07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67.81%</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2011–12</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83.25</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18.91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17.48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119.64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69.58%</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2012–13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78.23</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11.09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15.38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104.70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74.72%</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2013–14</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86.48</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7.20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14.41</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108.09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80.01%</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2014–15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71.08</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8.03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11.44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90.55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8"/>
                <w:szCs w:val="18"/>
              </w:rPr>
              <w:t xml:space="preserve">78.50%</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2015–16</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94.23</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8.40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7.90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110.53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8"/>
                <w:szCs w:val="18"/>
              </w:rPr>
              <w:t xml:space="preserve">85.25%</w:t>
            </w:r>
          </w:p>
        </w:tc>
      </w:tr>
    </w:tbl>
    <w:p>
      <w:pPr>
        <w:spacing w:after="160" w:before="60"/>
      </w:pPr>
      <w:r>
        <w:rPr>
          <w:i/>
          <w:iCs/>
          <w:color w:val="7030A0"/>
          <w:sz w:val="17"/>
          <w:szCs w:val="17"/>
        </w:rPr>
        <w:t xml:space="preserve"> [Derived analysis]</w:t>
      </w:r>
      <w:r>
        <w:rPr>
          <w:i/>
          <w:iCs/>
          <w:color w:val="404040"/>
          <w:sz w:val="17"/>
          <w:szCs w:val="17"/>
        </w:rPr>
        <w:t xml:space="preserve"> Computed by adding Table 5 “Total GHG emissions” to the eight columns of Table 8. Liquid fuels = first seven columns of Table 8. The 2015–16 total (110.5) matches the 110 MtCO2e headline in the executive summary of </w:t>
      </w:r>
      <w:r>
        <w:rPr>
          <w:b/>
          <w:bCs/>
          <w:color w:val="1F4E79"/>
          <w:sz w:val="17"/>
          <w:szCs w:val="17"/>
        </w:rPr>
        <w:t xml:space="preserve"> [S1]</w:t>
      </w:r>
      <w:r>
        <w:rPr>
          <w:i/>
          <w:iCs/>
          <w:color w:val="404040"/>
          <w:sz w:val="17"/>
          <w:szCs w:val="17"/>
        </w:rPr>
        <w:t xml:space="preserve">.</w:t>
      </w:r>
    </w:p>
    <w:p>
      <w:pPr>
        <w:spacing w:after="120" w:line="288"/>
        <w:jc w:val="left"/>
      </w:pPr>
      <w:r>
        <w:rPr>
          <w:b/>
          <w:bCs/>
        </w:rPr>
        <w:t xml:space="preserve">Reading the trend.</w:t>
      </w:r>
      <w:r>
        <w:t xml:space="preserve"> Solid fuels dominate throughout (roughly 68–85% of the total), liquid fuels fall sharply after 2011–12 (partly reflecting the furnace-oil anomaly discussed in Section 4.3), and natural gas rises to a peak of 17.5 MtCO2e in 2011–12 before declining </w:t>
      </w:r>
      <w:r>
        <w:rPr>
          <w:b/>
          <w:bCs/>
          <w:color w:val="1F4E79"/>
          <w:sz w:val="17"/>
          <w:szCs w:val="17"/>
        </w:rPr>
        <w:t xml:space="preserve"> [S1]</w:t>
      </w:r>
      <w:r>
        <w:t xml:space="preserve"> </w:t>
      </w:r>
      <w:r>
        <w:rPr>
          <w:i/>
          <w:iCs/>
          <w:color w:val="7030A0"/>
          <w:sz w:val="17"/>
          <w:szCs w:val="17"/>
        </w:rPr>
        <w:t xml:space="preserve"> [Derived analysis]</w:t>
      </w:r>
      <w:r>
        <w:t xml:space="preserve">. A factory-level tool therefore cannot assume that today’s fuel mix resembles last decade’s; it must collect the actual fuel mix.</w:t>
      </w:r>
    </w:p>
    <w:p>
      <w:pPr>
        <w:pStyle w:val="Heading2"/>
        <w:keepNext/>
      </w:pPr>
      <w:r>
        <w:t xml:space="preserve">4.2 Industry attribution is weak {S1}</w:t>
      </w:r>
    </w:p>
    <w:p>
      <w:pPr>
        <w:spacing w:after="120" w:line="288"/>
        <w:jc w:val="left"/>
      </w:pPr>
      <w:r>
        <w:t xml:space="preserve">Table 6 of CSTEP attributes coal use and emissions to named industries for 2014–15 and 2015–16. Four observations stand out </w:t>
      </w:r>
      <w:r>
        <w:rPr>
          <w:i/>
          <w:iCs/>
          <w:color w:val="7030A0"/>
          <w:sz w:val="17"/>
          <w:szCs w:val="17"/>
        </w:rPr>
        <w:t xml:space="preserve"> [Derived analysis]</w:t>
      </w:r>
      <w:r>
        <w:t xml:space="preserve">:</w:t>
      </w:r>
    </w:p>
    <w:p>
      <w:pPr>
        <w:pStyle w:val="ListParagraph"/>
        <w:numPr>
          <w:ilvl w:val="0"/>
          <w:numId w:val="2"/>
        </w:numPr>
        <w:spacing w:after="70" w:line="276"/>
      </w:pPr>
      <w:r>
        <w:rPr>
          <w:b/>
          <w:bCs/>
        </w:rPr>
        <w:t xml:space="preserve">Three-quarters of attributed emissions are unclassified.</w:t>
      </w:r>
      <w:r>
        <w:t xml:space="preserve"> In 2015–16 the category “Other industries / individual buyers” holds 17.0 Mt of the 45.7 Mt with industry data (37%) and 32.2 MtCO2e of the 43.25 MtCO2e attributed (74%). Only a quarter of the emissions are tied to a named industry.</w:t>
      </w:r>
    </w:p>
    <w:p>
      <w:pPr>
        <w:pStyle w:val="ListParagraph"/>
        <w:numPr>
          <w:ilvl w:val="0"/>
          <w:numId w:val="2"/>
        </w:numPr>
        <w:spacing w:after="70" w:line="276"/>
      </w:pPr>
      <w:r>
        <w:rPr>
          <w:b/>
          <w:bCs/>
        </w:rPr>
        <w:t xml:space="preserve">Coal briquetting dominates the quantity but emits nothing in the model.</w:t>
      </w:r>
      <w:r>
        <w:t xml:space="preserve"> Coal and coke briquettes account for 22.7 Mt (about 50% of the 45.7 Mt) but are assigned zero emissions because briquetting is treated as a physical process </w:t>
      </w:r>
      <w:r>
        <w:rPr>
          <w:b/>
          <w:bCs/>
          <w:color w:val="1F4E79"/>
          <w:sz w:val="17"/>
          <w:szCs w:val="17"/>
        </w:rPr>
        <w:t xml:space="preserve"> [S1]</w:t>
      </w:r>
      <w:r>
        <w:t xml:space="preserve">. The annexure splits this into 9.05 Mt of coal and 13.67 Mt of coke </w:t>
      </w:r>
      <w:r>
        <w:rPr>
          <w:b/>
          <w:bCs/>
          <w:color w:val="1F4E79"/>
          <w:sz w:val="17"/>
          <w:szCs w:val="17"/>
        </w:rPr>
        <w:t xml:space="preserve"> [S1]</w:t>
      </w:r>
      <w:r>
        <w:t xml:space="preserve">.</w:t>
      </w:r>
    </w:p>
    <w:p>
      <w:pPr>
        <w:pStyle w:val="ListParagraph"/>
        <w:numPr>
          <w:ilvl w:val="0"/>
          <w:numId w:val="2"/>
        </w:numPr>
        <w:spacing w:after="70" w:line="276"/>
      </w:pPr>
      <w:r>
        <w:rPr>
          <w:b/>
          <w:bCs/>
        </w:rPr>
        <w:t xml:space="preserve">A few products drive named-industry use.</w:t>
      </w:r>
      <w:r>
        <w:t xml:space="preserve"> Of 3.10 Mt of food-processing coal in 2015–16, 3.04 Mt (98%) is gur (jaggery) production; pottery uses 2.35 Mt </w:t>
      </w:r>
      <w:r>
        <w:rPr>
          <w:b/>
          <w:bCs/>
          <w:color w:val="1F4E79"/>
          <w:sz w:val="17"/>
          <w:szCs w:val="17"/>
        </w:rPr>
        <w:t xml:space="preserve"> [S1]</w:t>
      </w:r>
      <w:r>
        <w:t xml:space="preserve"> </w:t>
      </w:r>
      <w:r>
        <w:rPr>
          <w:i/>
          <w:iCs/>
          <w:color w:val="7030A0"/>
          <w:sz w:val="17"/>
          <w:szCs w:val="17"/>
        </w:rPr>
        <w:t xml:space="preserve"> [Derived analysis]</w:t>
      </w:r>
      <w:r>
        <w:t xml:space="preserve">.</w:t>
      </w:r>
    </w:p>
    <w:p>
      <w:pPr>
        <w:pStyle w:val="ListParagraph"/>
        <w:numPr>
          <w:ilvl w:val="0"/>
          <w:numId w:val="2"/>
        </w:numPr>
        <w:spacing w:after="70" w:line="276"/>
      </w:pPr>
      <w:r>
        <w:rPr>
          <w:b/>
          <w:bCs/>
        </w:rPr>
        <w:t xml:space="preserve">Categories shift between years.</w:t>
      </w:r>
      <w:r>
        <w:t xml:space="preserve"> Ceramic coal falls from 3.17 Mt (2014–15) to 0.05 Mt (2015–16), textile from 6.40 Mt to “n/a”, and soaps and detergents from 5.00 Mt to “n/a”, while pottery and “other industries” appear only in 2015–16 </w:t>
      </w:r>
      <w:r>
        <w:rPr>
          <w:b/>
          <w:bCs/>
          <w:color w:val="1F4E79"/>
          <w:sz w:val="17"/>
          <w:szCs w:val="17"/>
        </w:rPr>
        <w:t xml:space="preserve"> [S1]</w:t>
      </w:r>
      <w:r>
        <w:t xml:space="preserve">. Year-to-year comparison by industry is therefore unreliable and reflects what data happened to be available.</w:t>
      </w:r>
    </w:p>
    <w:p>
      <w:pPr>
        <w:pStyle w:val="Heading2"/>
        <w:keepNext/>
      </w:pPr>
      <w:r>
        <w:t xml:space="preserve">4.3 Consistency checks on the published tables {A}</w:t>
      </w:r>
    </w:p>
    <w:p>
      <w:pPr>
        <w:spacing w:after="120" w:line="288"/>
        <w:jc w:val="left"/>
      </w:pPr>
      <w:r>
        <w:t xml:space="preserve">GreenEIS must reproduce emission arithmetic reliably, so the arithmetic in CSTEP’s tables was re-computed: quantity in kt (Table 7) × NCV in TJ/kt (Table 4) × emission factor in t/TJ (Table 3), plus CH4 and N2O converted with GWP of 28 and 265 </w:t>
      </w:r>
      <w:r>
        <w:rPr>
          <w:b/>
          <w:bCs/>
          <w:color w:val="1F4E79"/>
          <w:sz w:val="17"/>
          <w:szCs w:val="17"/>
        </w:rPr>
        <w:t xml:space="preserve"> [S1]</w:t>
      </w:r>
      <w:r>
        <w:t xml:space="preserve">. The table below tests furnace oil, the fuel that shows the largest anomaly, with high-speed diesel as a control.</w:t>
      </w:r>
    </w:p>
    <w:p>
      <w:pPr>
        <w:keepNext/>
        <w:spacing w:after="60" w:before="120"/>
      </w:pPr>
      <w:r>
        <w:rPr>
          <w:i/>
          <w:iCs/>
          <w:color w:val="404040"/>
          <w:sz w:val="18"/>
          <w:szCs w:val="18"/>
        </w:rPr>
        <w:t xml:space="preserve">Table 4.2: Re-computation check, furnace oil (FO) and high-speed diesel oil (HSDO), MtCO2e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50"/>
        <w:gridCol w:w="1100"/>
        <w:gridCol w:w="1300"/>
        <w:gridCol w:w="1000"/>
        <w:gridCol w:w="1250"/>
        <w:gridCol w:w="1226"/>
      </w:tblGrid>
      <w:tr>
        <w:trPr>
          <w:cantSplit/>
          <w:tblHeader/>
        </w:trPr>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Year</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FO qty (kt)</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FO recomputed</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FO published</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Published ÷ recomputed</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HSDO qty (kt)</w:t>
            </w:r>
          </w:p>
        </w:tc>
        <w:tc>
          <w:tcPr>
            <w:tcW w:type="dxa" w:w="1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HSDO recomputed</w:t>
            </w:r>
          </w:p>
        </w:tc>
        <w:tc>
          <w:tcPr>
            <w:tcW w:type="dxa" w:w="12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HSDO published</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2008–09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3,848</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12.01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11.95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0.99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1,469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4.73</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4.70</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2009–10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3,653</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11.40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11.35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1.00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1,603</w:t>
            </w:r>
          </w:p>
        </w:tc>
        <w:tc>
          <w:tcPr>
            <w:tcW w:type="dxa" w:w="1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5.16</w:t>
            </w:r>
          </w:p>
        </w:tc>
        <w:tc>
          <w:tcPr>
            <w:tcW w:type="dxa" w:w="1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5.13</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2010–11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3,516</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10.97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10.92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2,170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6.99</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6.94</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2011–12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2,916</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9.10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9.06</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1.00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2,262</w:t>
            </w:r>
          </w:p>
        </w:tc>
        <w:tc>
          <w:tcPr>
            <w:tcW w:type="dxa" w:w="1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7.28</w:t>
            </w:r>
          </w:p>
        </w:tc>
        <w:tc>
          <w:tcPr>
            <w:tcW w:type="dxa" w:w="1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7.23</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2012–13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2,356</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7.35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1.09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0.15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2,319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7.46</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7.42</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2013–14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1,984</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6.19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0.96</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0.16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1,425</w:t>
            </w:r>
          </w:p>
        </w:tc>
        <w:tc>
          <w:tcPr>
            <w:tcW w:type="dxa" w:w="1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4.59</w:t>
            </w:r>
          </w:p>
        </w:tc>
        <w:tc>
          <w:tcPr>
            <w:tcW w:type="dxa" w:w="1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4.56</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2014–15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2,175</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6.79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0.61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0.09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1,748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5.63</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5.59</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2015–16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2,564</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8.00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0.84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0.10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1,922</w:t>
            </w:r>
          </w:p>
        </w:tc>
        <w:tc>
          <w:tcPr>
            <w:tcW w:type="dxa" w:w="1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6.19</w:t>
            </w:r>
          </w:p>
        </w:tc>
        <w:tc>
          <w:tcPr>
            <w:tcW w:type="dxa" w:w="1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6.14</w:t>
            </w:r>
          </w:p>
        </w:tc>
      </w:tr>
    </w:tbl>
    <w:p>
      <w:pPr>
        <w:spacing w:after="160" w:before="60"/>
      </w:pPr>
      <w:r>
        <w:rPr>
          <w:i/>
          <w:iCs/>
          <w:color w:val="7030A0"/>
          <w:sz w:val="17"/>
          <w:szCs w:val="17"/>
        </w:rPr>
        <w:t xml:space="preserve"> [Derived analysis]</w:t>
      </w:r>
      <w:r>
        <w:rPr>
          <w:i/>
          <w:iCs/>
          <w:color w:val="404040"/>
          <w:sz w:val="17"/>
          <w:szCs w:val="17"/>
        </w:rPr>
        <w:t xml:space="preserve"> Recomputed = quantity (kt) × NCV (FO 40.2, HSDO 43.3 TJ/kt) × combined factor in tCO2e/TJ (FO: 77.4 + 0.084 + 0.159 = 77.643; HSDO: 74.1 + 0.084 + 0.159 = 74.343) ÷ 10^6. Inputs from Tables 3, 4, 7 and 8 of </w:t>
      </w:r>
      <w:r>
        <w:rPr>
          <w:b/>
          <w:bCs/>
          <w:color w:val="1F4E79"/>
          <w:sz w:val="17"/>
          <w:szCs w:val="17"/>
        </w:rPr>
        <w:t xml:space="preserve"> [S1]</w:t>
      </w:r>
      <w:r>
        <w:rPr>
          <w:i/>
          <w:iCs/>
          <w:color w:val="404040"/>
          <w:sz w:val="17"/>
          <w:szCs w:val="17"/>
        </w:rPr>
        <w:t xml:space="preserve">.</w:t>
      </w:r>
    </w:p>
    <w:p>
      <w:pPr>
        <w:spacing w:after="120" w:line="288"/>
        <w:jc w:val="left"/>
      </w:pPr>
      <w:r>
        <w:rPr>
          <w:b/>
          <w:bCs/>
        </w:rPr>
        <w:t xml:space="preserve">Result.</w:t>
      </w:r>
      <w:r>
        <w:t xml:space="preserve"> For 2008–09 to 2011–12 and for HSDO in all years, the published emissions match the recomputed values within about 1%. For furnace oil from 2012–13 onward, the published emissions are only about 9–16% of the recomputed values although the reported quantities fell by far less. For 2015–16 the recomputed furnace-oil emission is about 8.0 MtCO2e against 0.84 MtCO2e published. This could reflect an undocumented reclassification (for example moving part of furnace oil to another category), a unit or entry error in the table, or a deliberate adjustment not described in the text. It should be treated as an open question to be verified with the authors rather than as proven error </w:t>
      </w:r>
      <w:r>
        <w:rPr>
          <w:i/>
          <w:iCs/>
          <w:color w:val="7030A0"/>
          <w:sz w:val="17"/>
          <w:szCs w:val="17"/>
        </w:rPr>
        <w:t xml:space="preserve"> [Derived analysis]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24"/>
              <w:bottom w:val="single" w:color="C55A11" w:sz="4"/>
              <w:right w:val="single" w:color="C55A11" w:sz="4"/>
            </w:tcBorders>
            <w:shd w:fill="FFF4E5" w:color="auto" w:val="clear"/>
            <w:tcMar>
              <w:top w:type="dxa" w:w="100"/>
              <w:left w:type="dxa" w:w="160"/>
              <w:bottom w:type="dxa" w:w="100"/>
              <w:right w:type="dxa" w:w="160"/>
            </w:tcMar>
          </w:tcPr>
          <w:p>
            <w:pPr>
              <w:spacing w:after="60"/>
            </w:pPr>
            <w:r>
              <w:rPr>
                <w:b/>
                <w:bCs/>
                <w:color w:val="C55A11"/>
                <w:sz w:val="21"/>
                <w:szCs w:val="21"/>
              </w:rPr>
              <w:t xml:space="preserve">Other presentation issues noticed in the same report {A}</w:t>
            </w:r>
          </w:p>
          <w:p>
            <w:pPr>
              <w:spacing w:after="60"/>
            </w:pPr>
            <w:r>
              <w:rPr>
                <w:sz w:val="20"/>
                <w:szCs w:val="20"/>
              </w:rPr>
              <w:t xml:space="preserve">• Emission-factor tables (Tables 2 and 3 of the report) are labelled “kt/TJ” but the magnitudes (for example 95,810 for coal) correspond to kg/TJ, i.e. 95.8 t CO2 per TJ, consistent with CEEW’s quoted range of 63.1 to 107 t CO2/TJ for petroleum products </w:t>
            </w:r>
            <w:r>
              <w:rPr>
                <w:b/>
                <w:bCs/>
                <w:color w:val="1F4E79"/>
                <w:sz w:val="17"/>
                <w:szCs w:val="17"/>
              </w:rPr>
              <w:t xml:space="preserve"> [S1, S2]</w:t>
            </w:r>
            <w:r>
              <w:rPr>
                <w:sz w:val="20"/>
                <w:szCs w:val="20"/>
              </w:rPr>
              <w:t xml:space="preserve">.</w:t>
            </w:r>
          </w:p>
          <w:p>
            <w:pPr>
              <w:spacing w:after="60"/>
            </w:pPr>
            <w:r>
              <w:rPr>
                <w:sz w:val="20"/>
                <w:szCs w:val="20"/>
              </w:rPr>
              <w:t xml:space="preserve">• The natural-gas CO2 factor is printed as “56.100” (a decimal-point slip for 56,100 kg/TJ) and its NCV is given in TJ/kt while the report’s Equation 5 requires TJ per million standard cubic metres </w:t>
            </w:r>
            <w:r>
              <w:rPr>
                <w:b/>
                <w:bCs/>
                <w:color w:val="1F4E79"/>
                <w:sz w:val="17"/>
                <w:szCs w:val="17"/>
              </w:rPr>
              <w:t xml:space="preserve"> [S1]</w:t>
            </w:r>
            <w:r>
              <w:rPr>
                <w:sz w:val="20"/>
                <w:szCs w:val="20"/>
              </w:rPr>
              <w:t xml:space="preserve">.</w:t>
            </w:r>
          </w:p>
          <w:p>
            <w:pPr>
              <w:spacing w:after="60"/>
            </w:pPr>
            <w:r>
              <w:rPr>
                <w:sz w:val="20"/>
                <w:szCs w:val="20"/>
              </w:rPr>
              <w:t xml:space="preserve">• The industry coal table reports a 2015–16 emission of 0.078 MtCO2e for textiles even though textile coal is “n/a” for that year </w:t>
            </w:r>
            <w:r>
              <w:rPr>
                <w:b/>
                <w:bCs/>
                <w:color w:val="1F4E79"/>
                <w:sz w:val="17"/>
                <w:szCs w:val="17"/>
              </w:rPr>
              <w:t xml:space="preserve"> [S1]</w:t>
            </w:r>
            <w:r>
              <w:rPr>
                <w:sz w:val="20"/>
                <w:szCs w:val="20"/>
              </w:rPr>
              <w:t xml:space="preserve">.</w:t>
            </w:r>
          </w:p>
          <w:p>
            <w:pPr>
              <w:spacing w:after="60"/>
            </w:pPr>
            <w:r>
              <w:rPr>
                <w:sz w:val="20"/>
                <w:szCs w:val="20"/>
              </w:rPr>
              <w:t xml:space="preserve">For GreenEIS these observations lead to two requirements: store units explicitly with every factor, and keep every factor traceable to a named source and year.</w:t>
            </w:r>
          </w:p>
        </w:tc>
      </w:tr>
    </w:tbl>
    <w:p>
      <w:pPr>
        <w:pStyle w:val="Heading2"/>
        <w:keepNext/>
      </w:pPr>
      <w:r>
        <w:t xml:space="preserve">4.4 Comparing the two national estimates {S1, S2}</w:t>
      </w:r>
    </w:p>
    <w:p>
      <w:pPr>
        <w:keepNext/>
        <w:spacing w:after="60" w:before="120"/>
      </w:pPr>
      <w:r>
        <w:rPr>
          <w:i/>
          <w:iCs/>
          <w:color w:val="404040"/>
          <w:sz w:val="18"/>
          <w:szCs w:val="18"/>
        </w:rPr>
        <w:t xml:space="preserve">Table 4.3: CSTEP (2018) and CEEW (2018)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Feature</w:t>
            </w:r>
          </w:p>
        </w:tc>
        <w:tc>
          <w:tcPr>
            <w:tcW w:type="dxa" w:w="3663"/>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CSTEP (2018) </w:t>
            </w:r>
            <w:r>
              <w:rPr>
                <w:b/>
                <w:bCs/>
                <w:color w:val="1F4E79"/>
                <w:sz w:val="17"/>
                <w:szCs w:val="17"/>
              </w:rPr>
              <w:t xml:space="preserve"> [S1]</w:t>
            </w:r>
          </w:p>
        </w:tc>
        <w:tc>
          <w:tcPr>
            <w:tcW w:type="dxa" w:w="3663"/>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CEEW (2018) </w:t>
            </w:r>
            <w:r>
              <w:rPr>
                <w:b/>
                <w:bCs/>
                <w:color w:val="1F4E79"/>
                <w:sz w:val="17"/>
                <w:szCs w:val="17"/>
              </w:rPr>
              <w:t xml:space="preserve"> [S2]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7"/>
                <w:szCs w:val="17"/>
              </w:rPr>
              <w:t xml:space="preserve">Core approach</w:t>
            </w:r>
          </w:p>
        </w:tc>
        <w:tc>
          <w:tcPr>
            <w:tcW w:type="dxa" w:w="36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7"/>
                <w:szCs w:val="17"/>
              </w:rPr>
              <w:t xml:space="preserve">Supply-side: fuel dispatched to the “others” category (MSMEs, brick kilns, unorganised units) × NCV × emission factor</w:t>
            </w:r>
          </w:p>
        </w:tc>
        <w:tc>
          <w:tcPr>
            <w:tcW w:type="dxa" w:w="36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7"/>
                <w:szCs w:val="17"/>
              </w:rPr>
              <w:t xml:space="preserve">Demand-side: informal GVA by labour-input method → fuel expenditure via ASI ratios → fuel quantities via prices → emissions</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7"/>
                <w:szCs w:val="17"/>
              </w:rPr>
              <w:t xml:space="preserve">Main data</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7"/>
                <w:szCs w:val="17"/>
              </w:rPr>
              <w:t xml:space="preserve">Coal Directory, Energy Statistics, petroleum and gas statistics, state coal agencies</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7"/>
                <w:szCs w:val="17"/>
              </w:rPr>
              <w:t xml:space="preserve">NSSO 62nd and 73rd rounds, ASI, MSME census, price data</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7"/>
                <w:szCs w:val="17"/>
              </w:rPr>
              <w:t xml:space="preserve">Period</w:t>
            </w:r>
          </w:p>
        </w:tc>
        <w:tc>
          <w:tcPr>
            <w:tcW w:type="dxa" w:w="36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7"/>
                <w:szCs w:val="17"/>
              </w:rPr>
              <w:t xml:space="preserve">2008–09 to 2015–16 (annual)</w:t>
            </w:r>
          </w:p>
        </w:tc>
        <w:tc>
          <w:tcPr>
            <w:tcW w:type="dxa" w:w="36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7"/>
                <w:szCs w:val="17"/>
              </w:rPr>
              <w:t xml:space="preserve">2005–06 and 2015–16 (two benchmark years)</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7"/>
                <w:szCs w:val="17"/>
              </w:rPr>
              <w:t xml:space="preserve">Fuels</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7"/>
                <w:szCs w:val="17"/>
              </w:rPr>
              <w:t xml:space="preserve">Coal, lignite, coking, LPG, naphtha, kerosene, diesel, LDO, furnace oil, LSHS, natural gas</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7"/>
                <w:szCs w:val="17"/>
              </w:rPr>
              <w:t xml:space="preserve">Coal and lignite, natural gas, diesel, furnace oil, LPG, kerosene, biomass, other petroleum fuels (electricity excluded)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7"/>
                <w:szCs w:val="17"/>
              </w:rPr>
              <w:t xml:space="preserve">Gases</w:t>
            </w:r>
          </w:p>
        </w:tc>
        <w:tc>
          <w:tcPr>
            <w:tcW w:type="dxa" w:w="36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7"/>
                <w:szCs w:val="17"/>
              </w:rPr>
              <w:t xml:space="preserve">CO2, CH4, N2O (AR5 GWP)</w:t>
            </w:r>
          </w:p>
        </w:tc>
        <w:tc>
          <w:tcPr>
            <w:tcW w:type="dxa" w:w="36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7"/>
                <w:szCs w:val="17"/>
              </w:rPr>
              <w:t xml:space="preserve">CO2 equivalent per IPCC approach; process emissions excluded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7"/>
                <w:szCs w:val="17"/>
              </w:rPr>
              <w:t xml:space="preserve">Headline 2015–16</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7"/>
                <w:szCs w:val="17"/>
              </w:rPr>
              <w:t xml:space="preserve">110 MtCO2e</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7"/>
                <w:szCs w:val="17"/>
              </w:rPr>
              <w:t xml:space="preserve">105 MtCO2e; coal over 90%</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7"/>
                <w:szCs w:val="17"/>
              </w:rPr>
              <w:t xml:space="preserve">Stated weakness</w:t>
            </w:r>
          </w:p>
        </w:tc>
        <w:tc>
          <w:tcPr>
            <w:tcW w:type="dxa" w:w="36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7"/>
                <w:szCs w:val="17"/>
              </w:rPr>
              <w:t xml:space="preserve">No industry-wise data for petroleum and gas; only 55% of coal classified</w:t>
            </w:r>
          </w:p>
        </w:tc>
        <w:tc>
          <w:tcPr>
            <w:tcW w:type="dxa" w:w="36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7"/>
                <w:szCs w:val="17"/>
              </w:rPr>
              <w:t xml:space="preserve">Relies on self-reported employment and expenditure; brick-kiln coal likely understated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7"/>
                <w:szCs w:val="17"/>
              </w:rPr>
              <w:t xml:space="preserve">Policy ask</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7"/>
                <w:szCs w:val="17"/>
              </w:rPr>
              <w:t xml:space="preserve">Industry-wise fuel monitoring; efficiency and renewable energy schemes</w:t>
            </w:r>
          </w:p>
        </w:tc>
        <w:tc>
          <w:tcPr>
            <w:tcW w:type="dxa" w:w="366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7"/>
                <w:szCs w:val="17"/>
              </w:rPr>
              <w:t xml:space="preserve">Annual informal-sector survey or integrated data with validation</w:t>
            </w:r>
          </w:p>
        </w:tc>
      </w:tr>
    </w:tbl>
    <w:p>
      <w:pPr>
        <w:spacing w:after="100"/>
      </w:pPr>
    </w:p>
    <w:p>
      <w:pPr>
        <w:spacing w:after="120" w:line="288"/>
        <w:jc w:val="left"/>
      </w:pPr>
      <w:r>
        <w:t xml:space="preserve">The two studies point to the same missing element: </w:t>
      </w:r>
      <w:r>
        <w:rPr>
          <w:b/>
          <w:bCs/>
        </w:rPr>
        <w:t xml:space="preserve">firm-level, regularly updated, validated energy data</w:t>
      </w:r>
      <w:r>
        <w:t xml:space="preserve">. Neither can supply it, because both work from the outside in. GreenEIS works from the inside out: a factory records what it actually uses.</w:t>
      </w:r>
    </w:p>
    <w:p>
      <w:pPr>
        <w:pStyle w:val="Heading2"/>
        <w:keepNext/>
      </w:pPr>
      <w:r>
        <w:t xml:space="preserve">4.5 CEEW sector detail worth knowing {S2}</w:t>
      </w:r>
    </w:p>
    <w:p>
      <w:pPr>
        <w:pStyle w:val="ListParagraph"/>
        <w:numPr>
          <w:ilvl w:val="0"/>
          <w:numId w:val="2"/>
        </w:numPr>
        <w:spacing w:after="70" w:line="276"/>
      </w:pPr>
      <w:r>
        <w:rPr>
          <w:b/>
          <w:bCs/>
        </w:rPr>
        <w:t xml:space="preserve">Brick and non-metallic minerals dominate coal use.</w:t>
      </w:r>
      <w:r>
        <w:t xml:space="preserve"> NIC division 23 accounts for 25.8 Mt of the roughly 52 Mt of informal coal and lignite in 2015–16, consistent with the ~49% brick-kiln share quoted by CEEW </w:t>
      </w:r>
      <w:r>
        <w:rPr>
          <w:b/>
          <w:bCs/>
          <w:color w:val="1F4E79"/>
          <w:sz w:val="17"/>
          <w:szCs w:val="17"/>
        </w:rPr>
        <w:t xml:space="preserve"> [S2]</w:t>
      </w:r>
      <w:r>
        <w:t xml:space="preserve"> </w:t>
      </w:r>
      <w:r>
        <w:rPr>
          <w:i/>
          <w:iCs/>
          <w:color w:val="7030A0"/>
          <w:sz w:val="17"/>
          <w:szCs w:val="17"/>
        </w:rPr>
        <w:t xml:space="preserve"> [Derived analysis]</w:t>
      </w:r>
      <w:r>
        <w:t xml:space="preserve">. Basic metals (NIC 24, 14.2 Mt) and textiles (NIC 13, 6.9 Mt) follow (Table B.4 in Appendix B).</w:t>
      </w:r>
    </w:p>
    <w:p>
      <w:pPr>
        <w:pStyle w:val="ListParagraph"/>
        <w:numPr>
          <w:ilvl w:val="0"/>
          <w:numId w:val="2"/>
        </w:numPr>
        <w:spacing w:after="70" w:line="276"/>
      </w:pPr>
      <w:r>
        <w:rPr>
          <w:b/>
          <w:bCs/>
        </w:rPr>
        <w:t xml:space="preserve">Fuel-expenditure intensity differs sharply by industry.</w:t>
      </w:r>
      <w:r>
        <w:t xml:space="preserve"> The GVA-to-fuel-expenditure ratio is as low as 1 for non-metallic minerals and basic metals (fuel costs nearly equal value added) and as high as 23 for tobacco and specialised construction (Table B.3) </w:t>
      </w:r>
      <w:r>
        <w:rPr>
          <w:b/>
          <w:bCs/>
          <w:color w:val="1F4E79"/>
          <w:sz w:val="17"/>
          <w:szCs w:val="17"/>
        </w:rPr>
        <w:t xml:space="preserve"> [S2]</w:t>
      </w:r>
      <w:r>
        <w:t xml:space="preserve">. This is the basis for sector benchmarks in GreenEIS.</w:t>
      </w:r>
    </w:p>
    <w:p>
      <w:pPr>
        <w:pStyle w:val="ListParagraph"/>
        <w:numPr>
          <w:ilvl w:val="0"/>
          <w:numId w:val="2"/>
        </w:numPr>
        <w:spacing w:after="70" w:line="276"/>
      </w:pPr>
      <w:r>
        <w:rPr>
          <w:b/>
          <w:bCs/>
        </w:rPr>
        <w:t xml:space="preserve">Energy supply and use do not reconcile.</w:t>
      </w:r>
      <w:r>
        <w:t xml:space="preserve"> For some fuels and years the supply-side totals in Table B.2 are lower than the formal-sector demand CEEW computes from ASI (for example natural gas in 2008–09: 3 Mtoe from MoPNG and NITI Aayog against 8 Mtoe from CEEW’s ASI aggregation), which cannot be right if informal units also use gas; CEEW cites this mismatch as compounding the difficulty of estimating informal energy use </w:t>
      </w:r>
      <w:r>
        <w:rPr>
          <w:b/>
          <w:bCs/>
          <w:color w:val="1F4E79"/>
          <w:sz w:val="17"/>
          <w:szCs w:val="17"/>
        </w:rPr>
        <w:t xml:space="preserve"> [S2]</w:t>
      </w:r>
      <w:r>
        <w:t xml:space="preserve">.</w:t>
      </w:r>
    </w:p>
    <w:p>
      <w:pPr>
        <w:pStyle w:val="Heading1"/>
        <w:pageBreakBefore/>
      </w:pPr>
      <w:r>
        <w:t xml:space="preserve">5. Research Gaps and the Position of GreenEIS</w:t>
      </w:r>
    </w:p>
    <w:p>
      <w:pPr>
        <w:pStyle w:val="Heading2"/>
        <w:keepNext/>
      </w:pPr>
      <w:r>
        <w:t xml:space="preserve">5.1 Gap analysis</w:t>
      </w:r>
    </w:p>
    <w:p>
      <w:pPr>
        <w:spacing w:after="120" w:line="288"/>
        <w:jc w:val="left"/>
      </w:pPr>
      <w:r>
        <w:t xml:space="preserve">A gap is useful only if it can be traced to evidence. Each row of the table below links a weakness stated or evidenced in the literature to a specific GreenEIS feature.</w:t>
      </w:r>
    </w:p>
    <w:p>
      <w:pPr>
        <w:keepNext/>
        <w:spacing w:after="60" w:before="120"/>
      </w:pPr>
      <w:r>
        <w:rPr>
          <w:i/>
          <w:iCs/>
          <w:color w:val="404040"/>
          <w:sz w:val="18"/>
          <w:szCs w:val="18"/>
        </w:rPr>
        <w:t xml:space="preserve">Table 5.1: Evidence-based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50"/>
        <w:gridCol w:w="3626"/>
        <w:gridCol w:w="2700"/>
      </w:tblGrid>
      <w:tr>
        <w:trPr>
          <w:cantSplit/>
          <w:tblHeader/>
        </w:trPr>
        <w:tc>
          <w:tcPr>
            <w:tcW w:type="dxa" w:w="4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w:t>
            </w:r>
          </w:p>
        </w:tc>
        <w:tc>
          <w:tcPr>
            <w:tcW w:type="dxa" w:w="2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Gap</w:t>
            </w:r>
          </w:p>
        </w:tc>
        <w:tc>
          <w:tcPr>
            <w:tcW w:type="dxa" w:w="3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Evidence</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GreenEIS response</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1</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No firm-level, regularly updated fuel and energy data for informal units</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CSTEP: no industry-wise data for petroleum and gas, 55% of coal only </w:t>
            </w:r>
            <w:r>
              <w:rPr>
                <w:b/>
                <w:bCs/>
                <w:color w:val="1F4E79"/>
                <w:sz w:val="17"/>
                <w:szCs w:val="17"/>
              </w:rPr>
              <w:t xml:space="preserve"> [S1]</w:t>
            </w:r>
            <w:r>
              <w:rPr>
                <w:sz w:val="17"/>
                <w:szCs w:val="17"/>
              </w:rPr>
              <w:t xml:space="preserve">; CEEW: no official energy statistics, surveys lack validation </w:t>
            </w:r>
            <w:r>
              <w:rPr>
                <w:b/>
                <w:bCs/>
                <w:color w:val="1F4E79"/>
                <w:sz w:val="17"/>
                <w:szCs w:val="17"/>
              </w:rPr>
              <w:t xml:space="preserve"> [S2]</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Monthly structured data entry by the factory itself</w:t>
            </w:r>
          </w:p>
        </w:tc>
      </w:tr>
      <w:tr>
        <w:trPr>
          <w:cantSplit/>
        </w:trPr>
        <w:tc>
          <w:tcPr>
            <w:tcW w:type="dxa" w:w="4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2</w:t>
            </w:r>
          </w:p>
        </w:tc>
        <w:tc>
          <w:tcPr>
            <w:tcW w:type="dxa" w:w="2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Estimates carry unquantified uncertainty and numbers conflict across studies</w:t>
            </w:r>
          </w:p>
        </w:tc>
        <w:tc>
          <w:tcPr>
            <w:tcW w:type="dxa" w:w="3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CSTEP 110 vs CEEW 105 MtCO2e; brick-kiln coal 26 Mt vs 35–69 Mt </w:t>
            </w:r>
            <w:r>
              <w:rPr>
                <w:b/>
                <w:bCs/>
                <w:color w:val="1F4E79"/>
                <w:sz w:val="17"/>
                <w:szCs w:val="17"/>
              </w:rPr>
              <w:t xml:space="preserve"> [S1, S2]</w:t>
            </w:r>
            <w:r>
              <w:rPr>
                <w:sz w:val="17"/>
                <w:szCs w:val="17"/>
              </w:rPr>
              <w:t xml:space="preserve">; internal inconsistencies (Section 4.3) </w:t>
            </w:r>
            <w:r>
              <w:rPr>
                <w:i/>
                <w:iCs/>
                <w:color w:val="7030A0"/>
                <w:sz w:val="17"/>
                <w:szCs w:val="17"/>
              </w:rPr>
              <w:t xml:space="preserve"> [Derived analysis]</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Trust score per number and weighted trust index, using the pedigree-matrix idea </w:t>
            </w:r>
            <w:r>
              <w:rPr>
                <w:b/>
                <w:bCs/>
                <w:color w:val="1F4E79"/>
                <w:sz w:val="17"/>
                <w:szCs w:val="17"/>
              </w:rPr>
              <w:t xml:space="preserve"> [S9, S10]</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3</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National studies do not tell a single factory what to fix first</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Both studies report national or sectoral totals only </w:t>
            </w:r>
            <w:r>
              <w:rPr>
                <w:b/>
                <w:bCs/>
                <w:color w:val="1F4E79"/>
                <w:sz w:val="17"/>
                <w:szCs w:val="17"/>
              </w:rPr>
              <w:t xml:space="preserve"> [S1, S2]</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Hotspot (Pareto) analysis at activity level; hotspots can be found even with imperfect data </w:t>
            </w:r>
            <w:r>
              <w:rPr>
                <w:b/>
                <w:bCs/>
                <w:color w:val="1F4E79"/>
                <w:sz w:val="17"/>
                <w:szCs w:val="17"/>
              </w:rPr>
              <w:t xml:space="preserve"> [S11]</w:t>
            </w:r>
          </w:p>
        </w:tc>
      </w:tr>
      <w:tr>
        <w:trPr>
          <w:cantSplit/>
        </w:trPr>
        <w:tc>
          <w:tcPr>
            <w:tcW w:type="dxa" w:w="4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4</w:t>
            </w:r>
          </w:p>
        </w:tc>
        <w:tc>
          <w:tcPr>
            <w:tcW w:type="dxa" w:w="2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Emissions are not linked to cost, but energy is a large share of MSME cost and prices are volatile</w:t>
            </w:r>
          </w:p>
        </w:tc>
        <w:tc>
          <w:tcPr>
            <w:tcW w:type="dxa" w:w="3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CSTEP 2024: MSMEs exposed to fuel-price rise; energy is a substantial share of cost </w:t>
            </w:r>
            <w:r>
              <w:rPr>
                <w:b/>
                <w:bCs/>
                <w:color w:val="1F4E79"/>
                <w:sz w:val="17"/>
                <w:szCs w:val="17"/>
              </w:rPr>
              <w:t xml:space="preserve"> [S5]</w:t>
            </w:r>
            <w:r>
              <w:rPr>
                <w:sz w:val="17"/>
                <w:szCs w:val="17"/>
              </w:rPr>
              <w:t xml:space="preserve">; cost and emission objectives can conflict </w:t>
            </w:r>
            <w:r>
              <w:rPr>
                <w:b/>
                <w:bCs/>
                <w:color w:val="1F4E79"/>
                <w:sz w:val="17"/>
                <w:szCs w:val="17"/>
              </w:rPr>
              <w:t xml:space="preserve"> [S20]</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Cost link: money and emissions per activity side by side</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5</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Decarbonisation evidence is cluster-level and requires audits and engineers</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CSTEP 2024 needed a two-year, 66-unit, techno-economic study </w:t>
            </w:r>
            <w:r>
              <w:rPr>
                <w:b/>
                <w:bCs/>
                <w:color w:val="1F4E79"/>
                <w:sz w:val="17"/>
                <w:szCs w:val="17"/>
              </w:rPr>
              <w:t xml:space="preserve"> [S5, S7]</w:t>
            </w:r>
            <w:r>
              <w:rPr>
                <w:sz w:val="17"/>
                <w:szCs w:val="17"/>
              </w:rPr>
              <w:t xml:space="preserve">; finance needs audit reports small units cannot prepare </w:t>
            </w:r>
            <w:r>
              <w:rPr>
                <w:b/>
                <w:bCs/>
                <w:color w:val="1F4E79"/>
                <w:sz w:val="17"/>
                <w:szCs w:val="17"/>
              </w:rPr>
              <w:t xml:space="preserve"> [S3]</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What-if simulator and rule-based recommendations that a manager can use without an audit</w:t>
            </w:r>
          </w:p>
        </w:tc>
      </w:tr>
      <w:tr>
        <w:trPr>
          <w:cantSplit/>
        </w:trPr>
        <w:tc>
          <w:tcPr>
            <w:tcW w:type="dxa" w:w="4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6</w:t>
            </w:r>
          </w:p>
        </w:tc>
        <w:tc>
          <w:tcPr>
            <w:tcW w:type="dxa" w:w="22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SME carbon tools exist but demand data, expertise or fees, and few are India- and MSME-fuel-specific</w:t>
            </w:r>
          </w:p>
        </w:tc>
        <w:tc>
          <w:tcPr>
            <w:tcW w:type="dxa" w:w="3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SME barriers: expertise, tools, data </w:t>
            </w:r>
            <w:r>
              <w:rPr>
                <w:b/>
                <w:bCs/>
                <w:color w:val="1F4E79"/>
                <w:sz w:val="17"/>
                <w:szCs w:val="17"/>
              </w:rPr>
              <w:t xml:space="preserve"> [S12, S13, S14]</w:t>
            </w:r>
            <w:r>
              <w:rPr>
                <w:sz w:val="17"/>
                <w:szCs w:val="17"/>
              </w:rPr>
              <w:t xml:space="preserve">; vendor tools are generic </w:t>
            </w:r>
            <w:r>
              <w:rPr>
                <w:b/>
                <w:bCs/>
                <w:color w:val="1F4E79"/>
                <w:sz w:val="17"/>
                <w:szCs w:val="17"/>
              </w:rPr>
              <w:t xml:space="preserve"> [S22]</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Indian default factors from CSTEP and CEA built in; minimal inputs; free and explainable</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7</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Suppliers face growing buyer demands for emission data but lack the means to respond</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Lost-contract risk </w:t>
            </w:r>
            <w:r>
              <w:rPr>
                <w:b/>
                <w:bCs/>
                <w:color w:val="1F4E79"/>
                <w:sz w:val="17"/>
                <w:szCs w:val="17"/>
              </w:rPr>
              <w:t xml:space="preserve"> [S15]</w:t>
            </w:r>
            <w:r>
              <w:rPr>
                <w:sz w:val="17"/>
                <w:szCs w:val="17"/>
              </w:rPr>
              <w:t xml:space="preserve">; exporters adopt carbon accounting more </w:t>
            </w:r>
            <w:r>
              <w:rPr>
                <w:b/>
                <w:bCs/>
                <w:color w:val="1F4E79"/>
                <w:sz w:val="17"/>
                <w:szCs w:val="17"/>
              </w:rPr>
              <w:t xml:space="preserve"> [S14]</w:t>
            </w:r>
            <w:r>
              <w:rPr>
                <w:sz w:val="17"/>
                <w:szCs w:val="17"/>
              </w:rPr>
              <w:t xml:space="preserve">; your project note </w:t>
            </w:r>
            <w:r>
              <w:rPr>
                <w:b/>
                <w:bCs/>
                <w:color w:val="1F4E79"/>
                <w:sz w:val="17"/>
                <w:szCs w:val="17"/>
              </w:rPr>
              <w:t xml:space="preserve"> [S8]</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One-page summary report suitable for buyers and lenders</w:t>
            </w:r>
          </w:p>
        </w:tc>
      </w:tr>
    </w:tbl>
    <w:p>
      <w:pPr>
        <w:spacing w:after="100"/>
      </w:pPr>
    </w:p>
    <w:p>
      <w:pPr>
        <w:pStyle w:val="Heading2"/>
        <w:keepNext/>
      </w:pPr>
      <w:r>
        <w:t xml:space="preserve">5.2 Statement of the research gap (ready for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B" w:color="auto" w:val="clear"/>
            <w:tcMar>
              <w:top w:type="dxa" w:w="100"/>
              <w:left w:type="dxa" w:w="160"/>
              <w:bottom w:type="dxa" w:w="100"/>
              <w:right w:type="dxa" w:w="160"/>
            </w:tcMar>
          </w:tcPr>
          <w:p>
            <w:pPr>
              <w:spacing w:after="60"/>
            </w:pPr>
            <w:r>
              <w:rPr>
                <w:b/>
                <w:bCs/>
                <w:color w:val="1F4E79"/>
                <w:sz w:val="21"/>
                <w:szCs w:val="21"/>
              </w:rPr>
              <w:t xml:space="preserve">Suggested wording</w:t>
            </w:r>
          </w:p>
          <w:p>
            <w:pPr>
              <w:spacing w:after="60"/>
            </w:pPr>
            <w:r>
              <w:rPr>
                <w:sz w:val="20"/>
                <w:szCs w:val="20"/>
              </w:rPr>
              <w:t xml:space="preserve">Existing estimates of greenhouse-gas emissions from India’s informal manufacturing sector are produced top-down from national fuel-supply or survey data and differ by method and year </w:t>
            </w:r>
            <w:r>
              <w:rPr>
                <w:b/>
                <w:bCs/>
                <w:color w:val="1F4E79"/>
                <w:sz w:val="17"/>
                <w:szCs w:val="17"/>
              </w:rPr>
              <w:t xml:space="preserve"> [S1, S2]</w:t>
            </w:r>
            <w:r>
              <w:rPr>
                <w:sz w:val="20"/>
                <w:szCs w:val="20"/>
              </w:rPr>
              <w:t xml:space="preserve">. They provide neither firm-level guidance nor any measure of the reliability of individual figures, and the lack of verified, industry-wise energy data is acknowledged by their authors as the main limitation </w:t>
            </w:r>
            <w:r>
              <w:rPr>
                <w:b/>
                <w:bCs/>
                <w:color w:val="1F4E79"/>
                <w:sz w:val="17"/>
                <w:szCs w:val="17"/>
              </w:rPr>
              <w:t xml:space="preserve"> [S1, S2]</w:t>
            </w:r>
            <w:r>
              <w:rPr>
                <w:sz w:val="20"/>
                <w:szCs w:val="20"/>
              </w:rPr>
              <w:t xml:space="preserve">. Decarbonisation studies at cluster level demonstrate large technical and economic potential but depend on specialised audits </w:t>
            </w:r>
            <w:r>
              <w:rPr>
                <w:b/>
                <w:bCs/>
                <w:color w:val="1F4E79"/>
                <w:sz w:val="17"/>
                <w:szCs w:val="17"/>
              </w:rPr>
              <w:t xml:space="preserve"> [S5, S7]</w:t>
            </w:r>
            <w:r>
              <w:rPr>
                <w:sz w:val="20"/>
                <w:szCs w:val="20"/>
              </w:rPr>
              <w:t xml:space="preserve">, and small firms face barriers of data, expertise and finance </w:t>
            </w:r>
            <w:r>
              <w:rPr>
                <w:b/>
                <w:bCs/>
                <w:color w:val="1F4E79"/>
                <w:sz w:val="17"/>
                <w:szCs w:val="17"/>
              </w:rPr>
              <w:t xml:space="preserve"> [S3, S12, S13, S14]</w:t>
            </w:r>
            <w:r>
              <w:rPr>
                <w:sz w:val="20"/>
                <w:szCs w:val="20"/>
              </w:rPr>
              <w:t xml:space="preserve">. There is therefore a need for a lightweight enterprise information system that converts routine factory data into emissions, confidence levels, cost-linked hotspots and testable improvement scenarios.</w:t>
            </w:r>
          </w:p>
        </w:tc>
      </w:tr>
    </w:tbl>
    <w:p>
      <w:pPr>
        <w:pStyle w:val="Heading2"/>
        <w:keepNext/>
      </w:pPr>
      <w:r>
        <w:t xml:space="preserve">5.3 Problem statement and objectives</w:t>
      </w:r>
    </w:p>
    <w:p>
      <w:pPr>
        <w:spacing w:after="120" w:line="288"/>
        <w:jc w:val="left"/>
      </w:pPr>
      <w:r>
        <w:rPr>
          <w:b/>
          <w:bCs/>
        </w:rPr>
        <w:t xml:space="preserve">Problem statement.</w:t>
      </w:r>
      <w:r>
        <w:t xml:space="preserve"> Small manufacturers cannot easily see where their energy waste and pollution originate, how much it costs, or how reliable their own numbers are, and so cannot prioritise improvements or answer buyer and lender requests for emission data </w:t>
      </w:r>
      <w:r>
        <w:rPr>
          <w:b/>
          <w:bCs/>
          <w:color w:val="1F4E79"/>
          <w:sz w:val="17"/>
          <w:szCs w:val="17"/>
        </w:rPr>
        <w:t xml:space="preserve"> [S3, S8, S15]</w:t>
      </w:r>
      <w:r>
        <w:t xml:space="preserve">.</w:t>
      </w:r>
    </w:p>
    <w:p>
      <w:pPr>
        <w:spacing w:after="120" w:line="288"/>
        <w:jc w:val="left"/>
      </w:pPr>
      <w:r>
        <w:rPr>
          <w:b/>
          <w:bCs/>
        </w:rPr>
        <w:t xml:space="preserve">Objectives</w:t>
      </w:r>
      <w:r>
        <w:t xml:space="preserve">:</w:t>
      </w:r>
    </w:p>
    <w:p>
      <w:pPr>
        <w:pStyle w:val="ListParagraph"/>
        <w:numPr>
          <w:ilvl w:val="0"/>
          <w:numId w:val="3"/>
        </w:numPr>
        <w:spacing w:after="70" w:line="276"/>
      </w:pPr>
      <w:r>
        <w:t xml:space="preserve">Design a minimal monthly data model covering electricity, fuels, transport and material or waste data for a small factory.</w:t>
      </w:r>
    </w:p>
    <w:p>
      <w:pPr>
        <w:pStyle w:val="ListParagraph"/>
        <w:numPr>
          <w:ilvl w:val="0"/>
          <w:numId w:val="3"/>
        </w:numPr>
        <w:spacing w:after="70" w:line="276"/>
      </w:pPr>
      <w:r>
        <w:t xml:space="preserve">Implement a transparent calculation engine for CO2, CH4 and N2O using IPCC-aligned equations and India-specific default factors </w:t>
      </w:r>
      <w:r>
        <w:rPr>
          <w:b/>
          <w:bCs/>
          <w:color w:val="1F4E79"/>
          <w:sz w:val="17"/>
          <w:szCs w:val="17"/>
        </w:rPr>
        <w:t xml:space="preserve"> [S1, S16]</w:t>
      </w:r>
      <w:r>
        <w:t xml:space="preserve">.</w:t>
      </w:r>
    </w:p>
    <w:p>
      <w:pPr>
        <w:pStyle w:val="ListParagraph"/>
        <w:numPr>
          <w:ilvl w:val="0"/>
          <w:numId w:val="3"/>
        </w:numPr>
        <w:spacing w:after="70" w:line="276"/>
      </w:pPr>
      <w:r>
        <w:t xml:space="preserve">Introduce a trust score that classifies every input as measured, estimated or default and aggregates to a trust index </w:t>
      </w:r>
      <w:r>
        <w:rPr>
          <w:b/>
          <w:bCs/>
          <w:color w:val="1F4E79"/>
          <w:sz w:val="17"/>
          <w:szCs w:val="17"/>
        </w:rPr>
        <w:t xml:space="preserve"> [S9, S10]</w:t>
      </w:r>
      <w:r>
        <w:t xml:space="preserve"> </w:t>
      </w:r>
      <w:r>
        <w:rPr>
          <w:i/>
          <w:iCs/>
          <w:color w:val="C55A11"/>
          <w:sz w:val="17"/>
          <w:szCs w:val="17"/>
        </w:rPr>
        <w:t xml:space="preserve"> [Design choice]</w:t>
      </w:r>
      <w:r>
        <w:t xml:space="preserve">.</w:t>
      </w:r>
    </w:p>
    <w:p>
      <w:pPr>
        <w:pStyle w:val="ListParagraph"/>
        <w:numPr>
          <w:ilvl w:val="0"/>
          <w:numId w:val="3"/>
        </w:numPr>
        <w:spacing w:after="70" w:line="276"/>
      </w:pPr>
      <w:r>
        <w:t xml:space="preserve">Identify emission and cost hotspots and link each activity’s emissions to its cost.</w:t>
      </w:r>
    </w:p>
    <w:p>
      <w:pPr>
        <w:pStyle w:val="ListParagraph"/>
        <w:numPr>
          <w:ilvl w:val="0"/>
          <w:numId w:val="3"/>
        </w:numPr>
        <w:spacing w:after="70" w:line="276"/>
      </w:pPr>
      <w:r>
        <w:t xml:space="preserve">Provide a what-if simulator for operational and fuel changes and generate a short recommendation report informed by published MSME decarbonisation options </w:t>
      </w:r>
      <w:r>
        <w:rPr>
          <w:b/>
          <w:bCs/>
          <w:color w:val="1F4E79"/>
          <w:sz w:val="17"/>
          <w:szCs w:val="17"/>
        </w:rPr>
        <w:t xml:space="preserve"> [S5, S7]</w:t>
      </w:r>
      <w:r>
        <w:t xml:space="preserve">.</w:t>
      </w:r>
    </w:p>
    <w:p>
      <w:pPr>
        <w:pStyle w:val="ListParagraph"/>
        <w:numPr>
          <w:ilvl w:val="0"/>
          <w:numId w:val="3"/>
        </w:numPr>
        <w:spacing w:after="70" w:line="276"/>
      </w:pPr>
      <w:r>
        <w:t xml:space="preserve">Validate the system against hand calculations and published sector figures, and with a case factory.</w:t>
      </w:r>
    </w:p>
    <w:p>
      <w:pPr>
        <w:pStyle w:val="Heading2"/>
        <w:keepNext/>
      </w:pPr>
      <w:r>
        <w:t xml:space="preserve">5.4 Scope boundary</w:t>
      </w:r>
    </w:p>
    <w:p>
      <w:pPr>
        <w:pStyle w:val="ListParagraph"/>
        <w:numPr>
          <w:ilvl w:val="0"/>
          <w:numId w:val="2"/>
        </w:numPr>
        <w:spacing w:after="70" w:line="276"/>
      </w:pPr>
      <w:r>
        <w:rPr>
          <w:b/>
          <w:bCs/>
        </w:rPr>
        <w:t xml:space="preserve">In scope:</w:t>
      </w:r>
      <w:r>
        <w:t xml:space="preserve"> Scope 1 combustion emissions (coal, lignite, petroleum fuels, gas), Scope 2 purchased electricity, and simple transport and waste entries as optional modules </w:t>
      </w:r>
      <w:r>
        <w:rPr>
          <w:i/>
          <w:iCs/>
          <w:color w:val="C55A11"/>
          <w:sz w:val="17"/>
          <w:szCs w:val="17"/>
        </w:rPr>
        <w:t xml:space="preserve"> [Design choice]</w:t>
      </w:r>
      <w:r>
        <w:t xml:space="preserve">.</w:t>
      </w:r>
    </w:p>
    <w:p>
      <w:pPr>
        <w:pStyle w:val="ListParagraph"/>
        <w:numPr>
          <w:ilvl w:val="0"/>
          <w:numId w:val="2"/>
        </w:numPr>
        <w:spacing w:after="70" w:line="276"/>
      </w:pPr>
      <w:r>
        <w:rPr>
          <w:b/>
          <w:bCs/>
        </w:rPr>
        <w:t xml:space="preserve">Out of scope in the first version:</w:t>
      </w:r>
      <w:r>
        <w:t xml:space="preserve"> process emissions from chemical reactions (excluded even in CEEW </w:t>
      </w:r>
      <w:r>
        <w:rPr>
          <w:b/>
          <w:bCs/>
          <w:color w:val="1F4E79"/>
          <w:sz w:val="17"/>
          <w:szCs w:val="17"/>
        </w:rPr>
        <w:t xml:space="preserve"> [S2]</w:t>
      </w:r>
      <w:r>
        <w:t xml:space="preserve">), full Scope 3 supply-chain accounting (hard for SMEs </w:t>
      </w:r>
      <w:r>
        <w:rPr>
          <w:b/>
          <w:bCs/>
          <w:color w:val="1F4E79"/>
          <w:sz w:val="17"/>
          <w:szCs w:val="17"/>
        </w:rPr>
        <w:t xml:space="preserve"> [S11]</w:t>
      </w:r>
      <w:r>
        <w:t xml:space="preserve">), life-cycle assessment and real-time sensor integration </w:t>
      </w:r>
      <w:r>
        <w:rPr>
          <w:i/>
          <w:iCs/>
          <w:color w:val="C55A11"/>
          <w:sz w:val="17"/>
          <w:szCs w:val="17"/>
        </w:rPr>
        <w:t xml:space="preserve"> [Design choice]</w:t>
      </w:r>
      <w:r>
        <w:t xml:space="preserve">.</w:t>
      </w:r>
    </w:p>
    <w:p>
      <w:pPr>
        <w:pStyle w:val="ListParagraph"/>
        <w:numPr>
          <w:ilvl w:val="0"/>
          <w:numId w:val="2"/>
        </w:numPr>
        <w:spacing w:after="70" w:line="276"/>
      </w:pPr>
      <w:r>
        <w:rPr>
          <w:b/>
          <w:bCs/>
        </w:rPr>
        <w:t xml:space="preserve">Not a replacement for national inventories or certified audits.</w:t>
      </w:r>
      <w:r>
        <w:t xml:space="preserve"> GreenEIS is a management and awareness tool.</w:t>
      </w:r>
    </w:p>
    <w:p>
      <w:pPr>
        <w:pStyle w:val="Heading1"/>
        <w:pageBreakBefore/>
      </w:pPr>
      <w:r>
        <w:t xml:space="preserve">6. GreenEIS System Design</w:t>
      </w:r>
    </w:p>
    <w:p>
      <w:pPr>
        <w:spacing w:after="120" w:line="288"/>
        <w:jc w:val="left"/>
      </w:pPr>
      <w:r>
        <w:t xml:space="preserve">This section turns your project note </w:t>
      </w:r>
      <w:r>
        <w:rPr>
          <w:b/>
          <w:bCs/>
          <w:color w:val="1F4E79"/>
          <w:sz w:val="17"/>
          <w:szCs w:val="17"/>
        </w:rPr>
        <w:t xml:space="preserve"> [S8]</w:t>
      </w:r>
      <w:r>
        <w:t xml:space="preserve"> into a concrete design. Items drawn from published methods are cited; design choices that you can defend or change are tagged </w:t>
      </w:r>
      <w:r>
        <w:rPr>
          <w:i/>
          <w:iCs/>
          <w:color w:val="C55A11"/>
          <w:sz w:val="17"/>
          <w:szCs w:val="17"/>
        </w:rPr>
        <w:t xml:space="preserve"> [Design choice]</w:t>
      </w:r>
      <w:r>
        <w:t xml:space="preserve">.</w:t>
      </w:r>
    </w:p>
    <w:p>
      <w:pPr>
        <w:pStyle w:val="Heading2"/>
        <w:keepNext/>
      </w:pPr>
      <w:r>
        <w:t xml:space="preserve">6.1 Architecture</w:t>
      </w:r>
    </w:p>
    <w:p>
      <w:pPr>
        <w:keepNext/>
        <w:spacing w:after="60" w:before="120"/>
      </w:pPr>
      <w:r>
        <w:rPr>
          <w:i/>
          <w:iCs/>
          <w:color w:val="404040"/>
          <w:sz w:val="18"/>
          <w:szCs w:val="18"/>
        </w:rPr>
        <w:t xml:space="preserve">Table 6.1: Modules of GreenEIS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626"/>
        <w:gridCol w:w="2600"/>
      </w:tblGrid>
      <w:tr>
        <w:trPr>
          <w:cantSplit/>
          <w:tblHeader/>
        </w:trPr>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Layer</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Module</w:t>
            </w:r>
          </w:p>
        </w:tc>
        <w:tc>
          <w:tcPr>
            <w:tcW w:type="dxa" w:w="3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What it does</w:t>
            </w:r>
          </w:p>
        </w:tc>
        <w:tc>
          <w:tcPr>
            <w:tcW w:type="dxa" w:w="2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Evidence / precedent</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Input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Monthly data form</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Factory enters electricity (kWh), fuels (quantity and unit), transport, material and waste, plus cost; picks data type (measured / estimated / default) for each field</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Needs simple tools for SMEs </w:t>
            </w:r>
            <w:r>
              <w:rPr>
                <w:b/>
                <w:bCs/>
                <w:color w:val="1F4E79"/>
                <w:sz w:val="17"/>
                <w:szCs w:val="17"/>
              </w:rPr>
              <w:t xml:space="preserve"> [S12, S13]</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Reference data</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Emission-factor and NCV library</w:t>
            </w:r>
          </w:p>
        </w:tc>
        <w:tc>
          <w:tcPr>
            <w:tcW w:type="dxa" w:w="3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Stores factor, unit, NCV, source and year for each fuel; grid factor for electricity</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CSTEP Tables 2–4 </w:t>
            </w:r>
            <w:r>
              <w:rPr>
                <w:b/>
                <w:bCs/>
                <w:color w:val="1F4E79"/>
                <w:sz w:val="17"/>
                <w:szCs w:val="17"/>
              </w:rPr>
              <w:t xml:space="preserve"> [S1]</w:t>
            </w:r>
            <w:r>
              <w:rPr>
                <w:sz w:val="17"/>
                <w:szCs w:val="17"/>
              </w:rPr>
              <w:t xml:space="preserve">; CEA baseline </w:t>
            </w:r>
            <w:r>
              <w:rPr>
                <w:b/>
                <w:bCs/>
                <w:color w:val="1F4E79"/>
                <w:sz w:val="17"/>
                <w:szCs w:val="17"/>
              </w:rPr>
              <w:t xml:space="preserve"> [S16]</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Engine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Emission calculator</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Activity data × NCV × factor for CO2, CH4, N2O; converts to CO2e with GWP 28 and 265</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IPCC method as applied in </w:t>
            </w:r>
            <w:r>
              <w:rPr>
                <w:b/>
                <w:bCs/>
                <w:color w:val="1F4E79"/>
                <w:sz w:val="17"/>
                <w:szCs w:val="17"/>
              </w:rPr>
              <w:t xml:space="preserve"> [S1]</w:t>
            </w:r>
            <w:r>
              <w:rPr>
                <w:sz w:val="17"/>
                <w:szCs w:val="17"/>
              </w:rPr>
              <w:t xml:space="preserve">, </w:t>
            </w:r>
            <w:r>
              <w:rPr>
                <w:b/>
                <w:bCs/>
                <w:color w:val="1F4E79"/>
                <w:sz w:val="17"/>
                <w:szCs w:val="17"/>
              </w:rPr>
              <w:t xml:space="preserve"> [S2]</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Engine</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Trust scorer</w:t>
            </w:r>
          </w:p>
        </w:tc>
        <w:tc>
          <w:tcPr>
            <w:tcW w:type="dxa" w:w="3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Scores each number and computes weighted trust index and an indicative uncertainty range</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Pedigree matrix / DQI </w:t>
            </w:r>
            <w:r>
              <w:rPr>
                <w:b/>
                <w:bCs/>
                <w:color w:val="1F4E79"/>
                <w:sz w:val="17"/>
                <w:szCs w:val="17"/>
              </w:rPr>
              <w:t xml:space="preserve"> [S9, S10]</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Analytics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Hotspot and cost link</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Pareto of emissions by activity; cost, cost share and cost per tCO2e</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Hotspot logic </w:t>
            </w:r>
            <w:r>
              <w:rPr>
                <w:b/>
                <w:bCs/>
                <w:color w:val="1F4E79"/>
                <w:sz w:val="17"/>
                <w:szCs w:val="17"/>
              </w:rPr>
              <w:t xml:space="preserve"> [S11]</w:t>
            </w:r>
            <w:r>
              <w:rPr>
                <w:sz w:val="17"/>
                <w:szCs w:val="17"/>
              </w:rPr>
              <w:t xml:space="preserve">; cost-emission tools </w:t>
            </w:r>
            <w:r>
              <w:rPr>
                <w:b/>
                <w:bCs/>
                <w:color w:val="1F4E79"/>
                <w:sz w:val="17"/>
                <w:szCs w:val="17"/>
              </w:rPr>
              <w:t xml:space="preserve"> [S18, S20]</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Analytics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What-if simulator</w:t>
            </w:r>
          </w:p>
        </w:tc>
        <w:tc>
          <w:tcPr>
            <w:tcW w:type="dxa" w:w="3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Applies percentage or fuel-switch changes and recomputes emissions and cost</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What-if DSS </w:t>
            </w:r>
            <w:r>
              <w:rPr>
                <w:b/>
                <w:bCs/>
                <w:color w:val="1F4E79"/>
                <w:sz w:val="17"/>
                <w:szCs w:val="17"/>
              </w:rPr>
              <w:t xml:space="preserve"> [S19, S21]</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Output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Dashboard and report</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KPI tiles, charts, trust badges, recommendations, one-page exportable summary</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Finance and buyer needs </w:t>
            </w:r>
            <w:r>
              <w:rPr>
                <w:b/>
                <w:bCs/>
                <w:color w:val="1F4E79"/>
                <w:sz w:val="17"/>
                <w:szCs w:val="17"/>
              </w:rPr>
              <w:t xml:space="preserve"> [S3, S15]</w:t>
            </w:r>
          </w:p>
        </w:tc>
      </w:tr>
    </w:tbl>
    <w:p>
      <w:pPr>
        <w:spacing w:after="100"/>
      </w:pPr>
    </w:p>
    <w:p>
      <w:pPr>
        <w:pStyle w:val="Heading2"/>
        <w:keepNext/>
      </w:pPr>
      <w:r>
        <w:t xml:space="preserve">6.2 Input data model</w:t>
      </w:r>
    </w:p>
    <w:p>
      <w:pPr>
        <w:spacing w:after="120" w:line="288"/>
        <w:jc w:val="left"/>
      </w:pPr>
      <w:r>
        <w:t xml:space="preserve">The aim is the smallest set of fields that still gives a defensible footprint, in line with the finding that SMEs lack personnel and tools for heavy data collection </w:t>
      </w:r>
      <w:r>
        <w:rPr>
          <w:b/>
          <w:bCs/>
          <w:color w:val="1F4E79"/>
          <w:sz w:val="17"/>
          <w:szCs w:val="17"/>
        </w:rPr>
        <w:t xml:space="preserve"> [S13]</w:t>
      </w:r>
      <w:r>
        <w:t xml:space="preserve">.</w:t>
      </w:r>
    </w:p>
    <w:p>
      <w:pPr>
        <w:keepNext/>
        <w:spacing w:after="60" w:before="120"/>
      </w:pPr>
      <w:r>
        <w:rPr>
          <w:i/>
          <w:iCs/>
          <w:color w:val="404040"/>
          <w:sz w:val="18"/>
          <w:szCs w:val="18"/>
        </w:rPr>
        <w:t xml:space="preserve">Table 6.2: Proposed monthly inputs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26"/>
        <w:gridCol w:w="1200"/>
        <w:gridCol w:w="30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Category</w:t>
            </w:r>
          </w:p>
        </w:tc>
        <w:tc>
          <w:tcPr>
            <w:tcW w:type="dxa" w:w="33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Fields</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Unit</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Typical data source in a small factory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Electricity</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Grid units purchased; own solar generation (optional); DG set diesel (counted under fuels)</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kWh</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Monthly electricity bill</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Solid fuels</w:t>
            </w:r>
          </w:p>
        </w:tc>
        <w:tc>
          <w:tcPr>
            <w:tcW w:type="dxa" w:w="3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Coal (grade if known), lignite, pet-coke, biomass, briquettes</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kg or tonnes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Purchase invoices, stock register</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Liquid fuels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Diesel, furnace oil, LDO, LSHS, kerosene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litres or kg</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Invoices, tank dip logs, generator hours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Gaseous fuels</w:t>
            </w:r>
          </w:p>
        </w:tc>
        <w:tc>
          <w:tcPr>
            <w:tcW w:type="dxa" w:w="3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LPG, PNG / natural gas</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kg, SCM</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Cylinder and gas bills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Production context</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Output quantity or sales value; operating hours; idle machine hours</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units, ₹, hours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Production log</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Cost</w:t>
            </w:r>
          </w:p>
        </w:tc>
        <w:tc>
          <w:tcPr>
            <w:tcW w:type="dxa" w:w="3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Cost for each energy item</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Bills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Optional modules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Transport fuel, solid waste to landfill, material waste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litres, kg</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Trip logs, waste records</w:t>
            </w:r>
          </w:p>
        </w:tc>
      </w:tr>
    </w:tbl>
    <w:p>
      <w:pPr>
        <w:spacing w:after="100"/>
      </w:pPr>
    </w:p>
    <w:p>
      <w:pPr>
        <w:pStyle w:val="Heading2"/>
        <w:keepNext/>
      </w:pPr>
      <w:r>
        <w:t xml:space="preserve">6.3 Emission-factor library (defaults)</w:t>
      </w:r>
    </w:p>
    <w:p>
      <w:pPr>
        <w:spacing w:after="120" w:line="288"/>
        <w:jc w:val="left"/>
      </w:pPr>
      <w:r>
        <w:t xml:space="preserve">The default library is adapted from CSTEP’s Tables 2–4 </w:t>
      </w:r>
      <w:r>
        <w:rPr>
          <w:b/>
          <w:bCs/>
          <w:color w:val="1F4E79"/>
          <w:sz w:val="17"/>
          <w:szCs w:val="17"/>
        </w:rPr>
        <w:t xml:space="preserve"> [S1]</w:t>
      </w:r>
      <w:r>
        <w:t xml:space="preserve">, which combine IPCC defaults and Indian values (for sub-bituminous coal and lignite, from Ramachandra et al. as cited in the report). The full table is in Appendix A (Table A.5). Electricity uses the CEA CO2 Baseline Database, which publishes the weighted-average grid factor together with operating-margin, build-margin and combined-margin values </w:t>
      </w:r>
      <w:r>
        <w:rPr>
          <w:b/>
          <w:bCs/>
          <w:color w:val="1F4E79"/>
          <w:sz w:val="17"/>
          <w:szCs w:val="17"/>
        </w:rPr>
        <w:t xml:space="preserve"> [S16]</w:t>
      </w:r>
      <w:r>
        <w:t xml:space="preserve">. A press report on the 2023–24 release gave a weighted-average factor of about 0.727 tCO2/MWh and a combined margin of 0.757 tCO2/MWh </w:t>
      </w:r>
      <w:r>
        <w:rPr>
          <w:b/>
          <w:bCs/>
          <w:color w:val="1F4E79"/>
          <w:sz w:val="17"/>
          <w:szCs w:val="17"/>
        </w:rPr>
        <w:t xml:space="preserve"> [S16]</w:t>
      </w:r>
      <w:r>
        <w:t xml:space="preserve">; </w:t>
      </w:r>
      <w:r>
        <w:rPr>
          <w:b/>
          <w:bCs/>
        </w:rPr>
        <w:t xml:space="preserve">check the current CEA release before final use</w:t>
      </w:r>
      <w:r>
        <w:t xml:space="preserve"> because the database is updated periodically. Using the weighted average for organisation-level reporting and the combined margin only for project-level baselines is a design choice </w:t>
      </w:r>
      <w:r>
        <w:rPr>
          <w:i/>
          <w:iCs/>
          <w:color w:val="C55A11"/>
          <w:sz w:val="17"/>
          <w:szCs w:val="17"/>
        </w:rPr>
        <w:t xml:space="preserve"> [Design choice]</w:t>
      </w:r>
      <w:r>
        <w:t xml:space="preserve">.</w:t>
      </w:r>
    </w:p>
    <w:p>
      <w:pPr>
        <w:pStyle w:val="Heading2"/>
        <w:keepNext/>
      </w:pPr>
      <w:r>
        <w:t xml:space="preserve">6.4 Calculation methodology</w:t>
      </w:r>
    </w:p>
    <w:p>
      <w:pPr>
        <w:spacing w:after="120" w:line="288"/>
        <w:jc w:val="left"/>
      </w:pPr>
      <w:r>
        <w:t xml:space="preserve">GreenEIS applies the same equations as CSTEP, for each fuel i used by the factory </w:t>
      </w:r>
      <w:r>
        <w:rPr>
          <w:b/>
          <w:bCs/>
          <w:color w:val="1F4E79"/>
          <w:sz w:val="17"/>
          <w:szCs w:val="17"/>
        </w:rPr>
        <w:t xml:space="preserve"> [S1]</w:t>
      </w:r>
      <w:r>
        <w:t xml:space="preserve">:</w:t>
      </w:r>
    </w:p>
    <w:p>
      <w:pPr>
        <w:shd w:fill="F2F2F2" w:val="clear"/>
        <w:spacing w:after="60" w:before="60"/>
        <w:ind w:left="360" w:right="360"/>
      </w:pPr>
      <w:r>
        <w:rPr>
          <w:rFonts w:ascii="Consolas" w:cs="Consolas" w:eastAsia="Consolas" w:hAnsi="Consolas"/>
          <w:sz w:val="20"/>
          <w:szCs w:val="20"/>
        </w:rPr>
        <w:t xml:space="preserve">CO2 (t)  = Σ [ Fuel_i (kt) × NCV_i (TJ/kt) × EF_CO2,i (t/TJ) ]</w:t>
      </w:r>
    </w:p>
    <w:p>
      <w:pPr>
        <w:shd w:fill="F2F2F2" w:val="clear"/>
        <w:spacing w:after="60" w:before="60"/>
        <w:ind w:left="360" w:right="360"/>
      </w:pPr>
      <w:r>
        <w:rPr>
          <w:rFonts w:ascii="Consolas" w:cs="Consolas" w:eastAsia="Consolas" w:hAnsi="Consolas"/>
          <w:sz w:val="20"/>
          <w:szCs w:val="20"/>
        </w:rPr>
        <w:t xml:space="preserve">CH4 (t)  = Σ [ Fuel_i (kt) × NCV_i (TJ/kt) × EF_CH4,i (t/TJ) ]</w:t>
      </w:r>
    </w:p>
    <w:p>
      <w:pPr>
        <w:shd w:fill="F2F2F2" w:val="clear"/>
        <w:spacing w:after="60" w:before="60"/>
        <w:ind w:left="360" w:right="360"/>
      </w:pPr>
      <w:r>
        <w:rPr>
          <w:rFonts w:ascii="Consolas" w:cs="Consolas" w:eastAsia="Consolas" w:hAnsi="Consolas"/>
          <w:sz w:val="20"/>
          <w:szCs w:val="20"/>
        </w:rPr>
        <w:t xml:space="preserve">N2O (t)  = Σ [ Fuel_i (kt) × NCV_i (TJ/kt) × EF_N2O,i (t/TJ) ]</w:t>
      </w:r>
    </w:p>
    <w:p>
      <w:pPr>
        <w:shd w:fill="F2F2F2" w:val="clear"/>
        <w:spacing w:after="60" w:before="60"/>
        <w:ind w:left="360" w:right="360"/>
      </w:pPr>
      <w:r>
        <w:rPr>
          <w:rFonts w:ascii="Consolas" w:cs="Consolas" w:eastAsia="Consolas" w:hAnsi="Consolas"/>
          <w:sz w:val="20"/>
          <w:szCs w:val="20"/>
        </w:rPr>
        <w:t xml:space="preserve">CO2e (t) = CO2 + 28 × CH4 + 265 × N2O</w:t>
      </w:r>
    </w:p>
    <w:p>
      <w:pPr>
        <w:spacing w:after="120" w:line="288"/>
        <w:jc w:val="left"/>
      </w:pPr>
      <w:r>
        <w:t xml:space="preserve">For gaseous fuels the fuel quantity is a volume and the NCV is per unit volume (CSTEP Equation 5) </w:t>
      </w:r>
      <w:r>
        <w:rPr>
          <w:b/>
          <w:bCs/>
          <w:color w:val="1F4E79"/>
          <w:sz w:val="17"/>
          <w:szCs w:val="17"/>
        </w:rPr>
        <w:t xml:space="preserve"> [S1]</w:t>
      </w:r>
      <w:r>
        <w:t xml:space="preserve">. For purchased electricity:</w:t>
      </w:r>
    </w:p>
    <w:p>
      <w:pPr>
        <w:shd w:fill="F2F2F2" w:val="clear"/>
        <w:spacing w:after="60" w:before="60"/>
        <w:ind w:left="360" w:right="360"/>
      </w:pPr>
      <w:r>
        <w:rPr>
          <w:rFonts w:ascii="Consolas" w:cs="Consolas" w:eastAsia="Consolas" w:hAnsi="Consolas"/>
          <w:sz w:val="20"/>
          <w:szCs w:val="20"/>
        </w:rPr>
        <w:t xml:space="preserve">CO2e from electricity (t) = Electricity (MWh) × Grid factor (tCO2/MWh)</w:t>
      </w:r>
    </w:p>
    <w:p>
      <w:pPr>
        <w:spacing w:after="120" w:line="288"/>
        <w:jc w:val="left"/>
      </w:pPr>
      <w:r>
        <w:t xml:space="preserve">This follows the generic activity-data × emission-factor structure used in the GHG Platform India methodology </w:t>
      </w:r>
      <w:r>
        <w:rPr>
          <w:b/>
          <w:bCs/>
          <w:color w:val="1F4E79"/>
          <w:sz w:val="17"/>
          <w:szCs w:val="17"/>
        </w:rPr>
        <w:t xml:space="preserve"> [S2, S9]</w:t>
      </w:r>
      <w:r>
        <w:t xml:space="preserve">. GWP values of 28 (CH4) and 265 (N2O) are those used by CSTEP </w:t>
      </w:r>
      <w:r>
        <w:rPr>
          <w:b/>
          <w:bCs/>
          <w:color w:val="1F4E79"/>
          <w:sz w:val="17"/>
          <w:szCs w:val="17"/>
        </w:rPr>
        <w:t xml:space="preserve"> [S1]</w:t>
      </w:r>
      <w:r>
        <w:t xml:space="preserve">. A unit-conversion layer is essential: all factors are stored in t/TJ and quantities converted from litres or kilograms to kt using stored density values </w:t>
      </w:r>
      <w:r>
        <w:rPr>
          <w:i/>
          <w:iCs/>
          <w:color w:val="C55A11"/>
          <w:sz w:val="17"/>
          <w:szCs w:val="17"/>
        </w:rPr>
        <w:t xml:space="preserve"> [Design choice]</w:t>
      </w:r>
      <w:r>
        <w:t xml:space="preserve">; CSTEP’s unit-labelling problems (Section 4.3) show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B" w:color="auto" w:val="clear"/>
            <w:tcMar>
              <w:top w:type="dxa" w:w="100"/>
              <w:left w:type="dxa" w:w="160"/>
              <w:bottom w:type="dxa" w:w="100"/>
              <w:right w:type="dxa" w:w="160"/>
            </w:tcMar>
          </w:tcPr>
          <w:p>
            <w:pPr>
              <w:spacing w:after="60"/>
            </w:pPr>
            <w:r>
              <w:rPr>
                <w:b/>
                <w:bCs/>
                <w:color w:val="1F4E79"/>
                <w:sz w:val="21"/>
                <w:szCs w:val="21"/>
              </w:rPr>
              <w:t xml:space="preserve">Handling process-specific rules from CSTEP {S1}</w:t>
            </w:r>
          </w:p>
          <w:p>
            <w:pPr>
              <w:spacing w:after="60"/>
            </w:pPr>
            <w:r>
              <w:rPr>
                <w:sz w:val="20"/>
                <w:szCs w:val="20"/>
              </w:rPr>
              <w:t xml:space="preserve">• Coal / coke briquetting: zero direct emissions (physical process only).</w:t>
            </w:r>
          </w:p>
          <w:p>
            <w:pPr>
              <w:spacing w:after="60"/>
            </w:pPr>
            <w:r>
              <w:rPr>
                <w:sz w:val="20"/>
                <w:szCs w:val="20"/>
              </w:rPr>
              <w:t xml:space="preserve">• Coking: separate factor (44,410 kg CO2/TJ) because it is derived from coke-oven gas composition.</w:t>
            </w:r>
          </w:p>
          <w:p>
            <w:pPr>
              <w:spacing w:after="60"/>
            </w:pPr>
            <w:r>
              <w:rPr>
                <w:sz w:val="20"/>
                <w:szCs w:val="20"/>
              </w:rPr>
              <w:t xml:space="preserve">• If coal grade is unknown, use the sub-bituminous default; if known, allow override. This default choice is a data-quality flag (Section 6.5).</w:t>
            </w:r>
          </w:p>
        </w:tc>
      </w:tr>
    </w:tbl>
    <w:p>
      <w:pPr>
        <w:pStyle w:val="Heading2"/>
        <w:keepNext/>
      </w:pPr>
      <w:r>
        <w:t xml:space="preserve">6.5 Trust score</w:t>
      </w:r>
    </w:p>
    <w:p>
      <w:pPr>
        <w:spacing w:after="120" w:line="288"/>
        <w:jc w:val="left"/>
      </w:pPr>
      <w:r>
        <w:rPr>
          <w:b/>
          <w:bCs/>
        </w:rPr>
        <w:t xml:space="preserve">Why.</w:t>
      </w:r>
      <w:r>
        <w:t xml:space="preserve"> The uncertainty of an inventory comes from activity data, emission factors and GWP values; where measured uncertainty is unknown, the GHG Protocol describes a pedigree matrix that converts qualitative data-quality ratings into uncertainty factors </w:t>
      </w:r>
      <w:r>
        <w:rPr>
          <w:b/>
          <w:bCs/>
          <w:color w:val="1F4E79"/>
          <w:sz w:val="17"/>
          <w:szCs w:val="17"/>
        </w:rPr>
        <w:t xml:space="preserve"> [S9]</w:t>
      </w:r>
      <w:r>
        <w:t xml:space="preserve">. The same idea has been applied to carbon and water footprints using indicators such as reliability, completeness, temporal, geographical and technological representativeness </w:t>
      </w:r>
      <w:r>
        <w:rPr>
          <w:b/>
          <w:bCs/>
          <w:color w:val="1F4E79"/>
          <w:sz w:val="17"/>
          <w:szCs w:val="17"/>
        </w:rPr>
        <w:t xml:space="preserve"> [S10]</w:t>
      </w:r>
      <w:r>
        <w:t xml:space="preserve">. For SMEs a qualitative, hotspot-oriented assessment is considered more practical than precise accounting </w:t>
      </w:r>
      <w:r>
        <w:rPr>
          <w:b/>
          <w:bCs/>
          <w:color w:val="1F4E79"/>
          <w:sz w:val="17"/>
          <w:szCs w:val="17"/>
        </w:rPr>
        <w:t xml:space="preserve"> [S11]</w:t>
      </w:r>
      <w:r>
        <w:t xml:space="preserve">. GreenEIS therefore uses a deliberately simple three-class version.</w:t>
      </w:r>
    </w:p>
    <w:p>
      <w:pPr>
        <w:keepNext/>
        <w:spacing w:after="60" w:before="120"/>
      </w:pPr>
      <w:r>
        <w:rPr>
          <w:i/>
          <w:iCs/>
          <w:color w:val="404040"/>
          <w:sz w:val="18"/>
          <w:szCs w:val="18"/>
        </w:rPr>
        <w:t xml:space="preserve">Table 6.3: Proposed trust classes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2626"/>
        <w:gridCol w:w="1000"/>
        <w:gridCol w:w="1600"/>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Class</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Definition</w:t>
            </w:r>
          </w:p>
        </w:tc>
        <w:tc>
          <w:tcPr>
            <w:tcW w:type="dxa" w:w="2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Examples</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center"/>
            </w:pPr>
            <w:r>
              <w:rPr>
                <w:b/>
                <w:bCs/>
                <w:color w:val="FFFFFF"/>
                <w:sz w:val="17"/>
                <w:szCs w:val="17"/>
              </w:rPr>
              <w:t xml:space="preserve">Score s</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center"/>
            </w:pPr>
            <w:r>
              <w:rPr>
                <w:b/>
                <w:bCs/>
                <w:color w:val="FFFFFF"/>
                <w:sz w:val="17"/>
                <w:szCs w:val="17"/>
              </w:rPr>
              <w:t xml:space="preserve">Indicative uncertainty u</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Measured</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Directly metered, billed or weighed for the month</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Electricity bill; fuel invoice with quantity; flow meter</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7"/>
                <w:szCs w:val="17"/>
              </w:rPr>
              <w:t xml:space="preserve">1.0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7"/>
                <w:szCs w:val="17"/>
              </w:rPr>
              <w:t xml:space="preserve">±5%</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Estimated</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Derived from a proxy: running hours × rated consumption, production × norm, stock difference</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Generator diesel from hours; coal from stock opening/closing</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7"/>
                <w:szCs w:val="17"/>
              </w:rPr>
              <w:t xml:space="preserve">0.6</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7"/>
                <w:szCs w:val="17"/>
              </w:rPr>
              <w:t xml:space="preserve">±25%</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Default</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Generic value or sector average used because no data are available</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Sector benchmark (Appendix B); assumed coal grade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7"/>
                <w:szCs w:val="17"/>
              </w:rPr>
              <w:t xml:space="preserve">0.3</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7"/>
                <w:szCs w:val="17"/>
              </w:rPr>
              <w:t xml:space="preserve">±50%</w:t>
            </w:r>
          </w:p>
        </w:tc>
      </w:tr>
    </w:tbl>
    <w:p>
      <w:pPr>
        <w:spacing w:after="160" w:before="60"/>
      </w:pPr>
      <w:r>
        <w:rPr>
          <w:i/>
          <w:iCs/>
          <w:color w:val="C55A11"/>
          <w:sz w:val="17"/>
          <w:szCs w:val="17"/>
        </w:rPr>
        <w:t xml:space="preserve"> [Design choice]</w:t>
      </w:r>
      <w:r>
        <w:rPr>
          <w:i/>
          <w:iCs/>
          <w:color w:val="404040"/>
          <w:sz w:val="17"/>
          <w:szCs w:val="17"/>
        </w:rPr>
        <w:t xml:space="preserve"> The scores and ± ranges are placeholders chosen for transparency and are not published values. Calibrate them against the pedigree-matrix table in the GHG Protocol uncertainty guidance </w:t>
      </w:r>
      <w:r>
        <w:rPr>
          <w:b/>
          <w:bCs/>
          <w:color w:val="1F4E79"/>
          <w:sz w:val="17"/>
          <w:szCs w:val="17"/>
        </w:rPr>
        <w:t xml:space="preserve"> [S9]</w:t>
      </w:r>
      <w:r>
        <w:rPr>
          <w:i/>
          <w:iCs/>
          <w:color w:val="404040"/>
          <w:sz w:val="17"/>
          <w:szCs w:val="17"/>
        </w:rPr>
        <w:t xml:space="preserve"> before reporting them as scientific uncertainty, and state clearly in your report that they are indicative.</w:t>
      </w:r>
    </w:p>
    <w:p>
      <w:pPr>
        <w:spacing w:after="120" w:line="288"/>
        <w:jc w:val="left"/>
      </w:pPr>
      <w:r>
        <w:rPr>
          <w:b/>
          <w:bCs/>
        </w:rPr>
        <w:t xml:space="preserve">Trust index and range</w:t>
      </w:r>
      <w:r>
        <w:t xml:space="preserve"> </w:t>
      </w:r>
      <w:r>
        <w:rPr>
          <w:i/>
          <w:iCs/>
          <w:color w:val="C55A11"/>
          <w:sz w:val="17"/>
          <w:szCs w:val="17"/>
        </w:rPr>
        <w:t xml:space="preserve"> [Design choice]</w:t>
      </w:r>
      <w:r>
        <w:t xml:space="preserve">. With E_i the CO2e of activity i and s_i its score:</w:t>
      </w:r>
    </w:p>
    <w:p>
      <w:pPr>
        <w:shd w:fill="F2F2F2" w:val="clear"/>
        <w:spacing w:after="60" w:before="60"/>
        <w:ind w:left="360" w:right="360"/>
      </w:pPr>
      <w:r>
        <w:rPr>
          <w:rFonts w:ascii="Consolas" w:cs="Consolas" w:eastAsia="Consolas" w:hAnsi="Consolas"/>
          <w:sz w:val="20"/>
          <w:szCs w:val="20"/>
        </w:rPr>
        <w:t xml:space="preserve">Trust index  T = Σ(E_i × s_i) / Σ E_i          (0 to 1; ≥0.8 high, 0.5–0.8 medium, &lt;0.5 low)</w:t>
      </w:r>
    </w:p>
    <w:p>
      <w:pPr>
        <w:shd w:fill="F2F2F2" w:val="clear"/>
        <w:spacing w:after="60" w:before="60"/>
        <w:ind w:left="360" w:right="360"/>
      </w:pPr>
      <w:r>
        <w:rPr>
          <w:rFonts w:ascii="Consolas" w:cs="Consolas" w:eastAsia="Consolas" w:hAnsi="Consolas"/>
          <w:sz w:val="20"/>
          <w:szCs w:val="20"/>
        </w:rPr>
        <w:t xml:space="preserve">Total uncertainty U = √[ Σ (E_i × u_i)² ] / Σ E_i     (root-sum-square for independent sources)</w:t>
      </w:r>
    </w:p>
    <w:p>
      <w:pPr>
        <w:spacing w:after="120" w:line="288"/>
        <w:jc w:val="left"/>
      </w:pPr>
      <w:r>
        <w:t xml:space="preserve">The root-sum-square rule is the standard simple propagation for independent sources of uncertainty; the GHG Protocol guidance also describes Monte Carlo simulation as a more general option </w:t>
      </w:r>
      <w:r>
        <w:rPr>
          <w:b/>
          <w:bCs/>
          <w:color w:val="1F4E79"/>
          <w:sz w:val="17"/>
          <w:szCs w:val="17"/>
        </w:rPr>
        <w:t xml:space="preserve"> [S9]</w:t>
      </w:r>
      <w:r>
        <w:t xml:space="preserve">. A second flag is shown when an emission factor is a default rather than country-specific, and a third when the coal grade or fuel density is assumed. Each number on the dashboard carries a coloured badge (green / amber / red) so the manager sees at once which figures to improve first. The improvement rule is simple: raise the score of the largest hotspots first, because they dominate total uncertainty.</w:t>
      </w:r>
    </w:p>
    <w:p>
      <w:pPr>
        <w:pStyle w:val="Heading2"/>
        <w:keepNext/>
      </w:pPr>
      <w:r>
        <w:t xml:space="preserve">6.6 Hotspot analysis</w:t>
      </w:r>
    </w:p>
    <w:p>
      <w:pPr>
        <w:spacing w:after="120" w:line="288"/>
        <w:jc w:val="left"/>
      </w:pPr>
      <w:r>
        <w:t xml:space="preserve">Activities are ranked by CO2e and plotted as a Pareto chart with a cumulative-share line; the “vital few” that cause about 80% of emissions are highlighted </w:t>
      </w:r>
      <w:r>
        <w:rPr>
          <w:i/>
          <w:iCs/>
          <w:color w:val="C55A11"/>
          <w:sz w:val="17"/>
          <w:szCs w:val="17"/>
        </w:rPr>
        <w:t xml:space="preserve"> [Design choice]</w:t>
      </w:r>
      <w:r>
        <w:t xml:space="preserve">. Case studies on manufacturing SMEs show that hotspots can be identified for targeting improvement even where data are imperfect </w:t>
      </w:r>
      <w:r>
        <w:rPr>
          <w:b/>
          <w:bCs/>
          <w:color w:val="1F4E79"/>
          <w:sz w:val="17"/>
          <w:szCs w:val="17"/>
        </w:rPr>
        <w:t xml:space="preserve"> [S11]</w:t>
      </w:r>
      <w:r>
        <w:t xml:space="preserve">. In the national data, the same pattern appears: coal alone gives over 90% of informal-sector emissions </w:t>
      </w:r>
      <w:r>
        <w:rPr>
          <w:b/>
          <w:bCs/>
          <w:color w:val="1F4E79"/>
          <w:sz w:val="17"/>
          <w:szCs w:val="17"/>
        </w:rPr>
        <w:t xml:space="preserve"> [S2]</w:t>
      </w:r>
      <w:r>
        <w:t xml:space="preserve">, and in a typical factory the picture will be similar, with one or two fuels dominating.</w:t>
      </w:r>
    </w:p>
    <w:p>
      <w:pPr>
        <w:pStyle w:val="Heading2"/>
        <w:keepNext/>
      </w:pPr>
      <w:r>
        <w:t xml:space="preserve">6.7 Cost link</w:t>
      </w:r>
    </w:p>
    <w:p>
      <w:pPr>
        <w:spacing w:after="120" w:line="288"/>
        <w:jc w:val="left"/>
      </w:pPr>
      <w:r>
        <w:t xml:space="preserve">For each activity the dashboard shows cost, share of total cost, emissions, share of emissions, and cost per tonne of CO2e (₹/tCO2e). Reading cost and emission shares together separates activities that are costly and polluting (clear priorities) from those that are polluting but cheap (hard to justify financially without policy support) and those that are costly but low in emissions (efficiency candidates). The need to present cost and emission outcomes together is underlined by work showing that the two can conflict under changing prices and grid carbon intensity </w:t>
      </w:r>
      <w:r>
        <w:rPr>
          <w:b/>
          <w:bCs/>
          <w:color w:val="1F4E79"/>
          <w:sz w:val="17"/>
          <w:szCs w:val="17"/>
        </w:rPr>
        <w:t xml:space="preserve"> [S20]</w:t>
      </w:r>
      <w:r>
        <w:t xml:space="preserve">, and by tools that compare scenarios by energy cost and GHG emissions for SMEs </w:t>
      </w:r>
      <w:r>
        <w:rPr>
          <w:b/>
          <w:bCs/>
          <w:color w:val="1F4E79"/>
          <w:sz w:val="17"/>
          <w:szCs w:val="17"/>
        </w:rPr>
        <w:t xml:space="preserve"> [S18]</w:t>
      </w:r>
      <w:r>
        <w:t xml:space="preserve">. Earlier decision-support work on estimating the carbon emission and cost of product designs (Su, Chu and Wang, 2012) appears in the reference list of Kuo et al. </w:t>
      </w:r>
      <w:r>
        <w:rPr>
          <w:b/>
          <w:bCs/>
          <w:color w:val="1F4E79"/>
          <w:sz w:val="17"/>
          <w:szCs w:val="17"/>
        </w:rPr>
        <w:t xml:space="preserve"> [S10]</w:t>
      </w:r>
      <w:r>
        <w:t xml:space="preserve">.</w:t>
      </w:r>
    </w:p>
    <w:p>
      <w:pPr>
        <w:pStyle w:val="Heading2"/>
        <w:keepNext/>
      </w:pPr>
      <w:r>
        <w:t xml:space="preserve">6.8 What-if simulator</w:t>
      </w:r>
    </w:p>
    <w:p>
      <w:pPr>
        <w:spacing w:after="120" w:line="288"/>
        <w:jc w:val="left"/>
      </w:pPr>
      <w:r>
        <w:t xml:space="preserve">A scenario changes one or more inputs and the engine recomputes everything. Three scenario types cover most small-factory ideas </w:t>
      </w:r>
      <w:r>
        <w:rPr>
          <w:i/>
          <w:iCs/>
          <w:color w:val="C55A11"/>
          <w:sz w:val="17"/>
          <w:szCs w:val="17"/>
        </w:rPr>
        <w:t xml:space="preserve"> [Design choice]</w:t>
      </w:r>
      <w:r>
        <w:t xml:space="preserve">:</w:t>
      </w:r>
    </w:p>
    <w:p>
      <w:pPr>
        <w:pStyle w:val="ListParagraph"/>
        <w:numPr>
          <w:ilvl w:val="0"/>
          <w:numId w:val="2"/>
        </w:numPr>
        <w:spacing w:after="70" w:line="276"/>
      </w:pPr>
      <w:r>
        <w:rPr>
          <w:b/>
          <w:bCs/>
        </w:rPr>
        <w:t xml:space="preserve">Activity change:</w:t>
      </w:r>
      <w:r>
        <w:t xml:space="preserve"> reduce quantity by x% (for example, “cut idle machine time by 15%” from your project note </w:t>
      </w:r>
      <w:r>
        <w:rPr>
          <w:b/>
          <w:bCs/>
          <w:color w:val="1F4E79"/>
          <w:sz w:val="17"/>
          <w:szCs w:val="17"/>
        </w:rPr>
        <w:t xml:space="preserve"> [S8]</w:t>
      </w:r>
      <w:r>
        <w:t xml:space="preserve">, boiler tuning, fixing compressed-air leaks).</w:t>
      </w:r>
    </w:p>
    <w:p>
      <w:pPr>
        <w:pStyle w:val="ListParagraph"/>
        <w:numPr>
          <w:ilvl w:val="0"/>
          <w:numId w:val="2"/>
        </w:numPr>
        <w:spacing w:after="70" w:line="276"/>
      </w:pPr>
      <w:r>
        <w:rPr>
          <w:b/>
          <w:bCs/>
        </w:rPr>
        <w:t xml:space="preserve">Fuel switch:</w:t>
      </w:r>
      <w:r>
        <w:t xml:space="preserve"> move y% of fuel A to fuel B (coal to biomass or gas; diesel to biodiesel blend), using the factor library. Published MSME work identifies bio-CNG and biodiesel blending as viable fuel options </w:t>
      </w:r>
      <w:r>
        <w:rPr>
          <w:b/>
          <w:bCs/>
          <w:color w:val="1F4E79"/>
          <w:sz w:val="17"/>
          <w:szCs w:val="17"/>
        </w:rPr>
        <w:t xml:space="preserve"> [S7]</w:t>
      </w:r>
      <w:r>
        <w:t xml:space="preserve">.</w:t>
      </w:r>
    </w:p>
    <w:p>
      <w:pPr>
        <w:pStyle w:val="ListParagraph"/>
        <w:numPr>
          <w:ilvl w:val="0"/>
          <w:numId w:val="2"/>
        </w:numPr>
        <w:spacing w:after="70" w:line="276"/>
      </w:pPr>
      <w:r>
        <w:rPr>
          <w:b/>
          <w:bCs/>
        </w:rPr>
        <w:t xml:space="preserve">Electricity source change:</w:t>
      </w:r>
      <w:r>
        <w:t xml:space="preserve"> shift z% of grid power to rooftop solar, with a zero or low emission factor for the solar share. Rooftop and open-access renewable energy are among policy levers named by CSTEP </w:t>
      </w:r>
      <w:r>
        <w:rPr>
          <w:b/>
          <w:bCs/>
          <w:color w:val="1F4E79"/>
          <w:sz w:val="17"/>
          <w:szCs w:val="17"/>
        </w:rPr>
        <w:t xml:space="preserve"> [S4]</w:t>
      </w:r>
      <w:r>
        <w:t xml:space="preserve">.</w:t>
      </w:r>
    </w:p>
    <w:p>
      <w:pPr>
        <w:shd w:fill="F2F2F2" w:val="clear"/>
        <w:spacing w:after="60" w:before="60"/>
        <w:ind w:left="360" w:right="360"/>
      </w:pPr>
      <w:r>
        <w:rPr>
          <w:rFonts w:ascii="Consolas" w:cs="Consolas" w:eastAsia="Consolas" w:hAnsi="Consolas"/>
          <w:sz w:val="20"/>
          <w:szCs w:val="20"/>
        </w:rPr>
        <w:t xml:space="preserve">ΔE (tCO2e) = E_new − E_base      ΔCost (₹) = Cost_new − Cost_base</w:t>
      </w:r>
    </w:p>
    <w:p>
      <w:pPr>
        <w:shd w:fill="F2F2F2" w:val="clear"/>
        <w:spacing w:after="60" w:before="60"/>
        <w:ind w:left="360" w:right="360"/>
      </w:pPr>
      <w:r>
        <w:rPr>
          <w:rFonts w:ascii="Consolas" w:cs="Consolas" w:eastAsia="Consolas" w:hAnsi="Consolas"/>
          <w:sz w:val="20"/>
          <w:szCs w:val="20"/>
        </w:rPr>
        <w:t xml:space="preserve">Abatement cost (₹/tCO2e) = (Annualised investment − annual energy saving) / annual tCO2e avoided</w:t>
      </w:r>
    </w:p>
    <w:p>
      <w:pPr>
        <w:spacing w:after="120" w:line="288"/>
        <w:jc w:val="left"/>
      </w:pPr>
      <w:r>
        <w:t xml:space="preserve">The last line is a standard simple abatement-cost measure and requires the user to enter an investment figure; it is optional in the minimum version </w:t>
      </w:r>
      <w:r>
        <w:rPr>
          <w:i/>
          <w:iCs/>
          <w:color w:val="C55A11"/>
          <w:sz w:val="17"/>
          <w:szCs w:val="17"/>
        </w:rPr>
        <w:t xml:space="preserve"> [Design choice]</w:t>
      </w:r>
      <w:r>
        <w:t xml:space="preserve">. The CSTEP 2024 study shows why capital cost must be visible: electric boilers and electric kilns cut emissions but were not financially viable in some clusters because of capital cost and low utilisation </w:t>
      </w:r>
      <w:r>
        <w:rPr>
          <w:b/>
          <w:bCs/>
          <w:color w:val="1F4E79"/>
          <w:sz w:val="17"/>
          <w:szCs w:val="17"/>
        </w:rPr>
        <w:t xml:space="preserve"> [S7]</w:t>
      </w:r>
      <w:r>
        <w:t xml:space="preserve">. Precedents for a what-if simulation interface include decision-guidance systems for sustainable manufacturing </w:t>
      </w:r>
      <w:r>
        <w:rPr>
          <w:b/>
          <w:bCs/>
          <w:color w:val="1F4E79"/>
          <w:sz w:val="17"/>
          <w:szCs w:val="17"/>
        </w:rPr>
        <w:t xml:space="preserve"> [S19]</w:t>
      </w:r>
      <w:r>
        <w:t xml:space="preserve"> and context-based decision support for industrial energy efficiency </w:t>
      </w:r>
      <w:r>
        <w:rPr>
          <w:b/>
          <w:bCs/>
          <w:color w:val="1F4E79"/>
          <w:sz w:val="17"/>
          <w:szCs w:val="17"/>
        </w:rPr>
        <w:t xml:space="preserve"> [S21]</w:t>
      </w:r>
      <w:r>
        <w:t xml:space="preserve">.</w:t>
      </w:r>
    </w:p>
    <w:p>
      <w:pPr>
        <w:pStyle w:val="Heading2"/>
        <w:keepNext/>
      </w:pPr>
      <w:r>
        <w:t xml:space="preserve">6.9 Recommendation engine and report</w:t>
      </w:r>
    </w:p>
    <w:p>
      <w:pPr>
        <w:spacing w:after="120" w:line="288"/>
        <w:jc w:val="left"/>
      </w:pPr>
      <w:r>
        <w:t xml:space="preserve">A short rule-based library maps each hotspot to a few actions, drawn from published MSME findings and tagged with the industry and fuel they apply to </w:t>
      </w:r>
      <w:r>
        <w:rPr>
          <w:b/>
          <w:bCs/>
          <w:color w:val="1F4E79"/>
          <w:sz w:val="17"/>
          <w:szCs w:val="17"/>
        </w:rPr>
        <w:t xml:space="preserve"> [S5, S7]</w:t>
      </w:r>
      <w:r>
        <w:t xml:space="preserve"> </w:t>
      </w:r>
      <w:r>
        <w:rPr>
          <w:i/>
          <w:iCs/>
          <w:color w:val="C55A11"/>
          <w:sz w:val="17"/>
          <w:szCs w:val="17"/>
        </w:rPr>
        <w:t xml:space="preserve"> [Design choice]</w:t>
      </w:r>
      <w:r>
        <w:t xml:space="preserve">:</w:t>
      </w:r>
    </w:p>
    <w:p>
      <w:pPr>
        <w:keepNext/>
        <w:spacing w:after="60" w:before="120"/>
      </w:pPr>
      <w:r>
        <w:rPr>
          <w:i/>
          <w:iCs/>
          <w:color w:val="404040"/>
          <w:sz w:val="18"/>
          <w:szCs w:val="18"/>
        </w:rPr>
        <w:t xml:space="preserve">Table 6.4: Example recommendation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2200"/>
        <w:gridCol w:w="110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If the hotspot is…</w:t>
            </w:r>
          </w:p>
        </w:tc>
        <w:tc>
          <w:tcPr>
            <w:tcW w:type="dxa" w:w="34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Typical action to suggest</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Caution to display</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Source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Coal / thermic-fluid heater / boiler (textile, food)</w:t>
            </w:r>
          </w:p>
        </w:tc>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Boiler and thermic-fluid heater efficiency upgrades; heat recovery; solar-thermal for low and medium-temperature process heat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Efficiency alone may not suffice for deep decarbonisation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[S4, S7]</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Furnace (aluminium die-casting, foundry)</w:t>
            </w:r>
          </w:p>
        </w:tc>
        <w:tc>
          <w:tcPr>
            <w:tcW w:type="dxa" w:w="34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Furnace efficiency; consider electric resistance furnace; bio-CNG as alternative to piped gas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Cluster and tariff dependent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[S7]</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Kiln (refractories, ceramics)</w:t>
            </w:r>
          </w:p>
        </w:tc>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Kiln efficiency measures; electric kiln can cut emissions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High capital cost may block viability</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[S7]</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Diesel generator or boiler</w:t>
            </w:r>
          </w:p>
        </w:tc>
        <w:tc>
          <w:tcPr>
            <w:tcW w:type="dxa" w:w="34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Biodiesel blending; reduce idle running; shift to grid or rooftop solar</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Check blend limits with equipment supplier</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[S7, S4]</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Electric drives and HVAC (pharmaceutical sector)</w:t>
            </w:r>
          </w:p>
        </w:tc>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Efficient drives and HVAC equipment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Reported cluster-level savings for top measures were a few percent (for example 4.36% for pressure die-casting in Bengaluru)</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color w:val="1F4E79"/>
                <w:sz w:val="17"/>
                <w:szCs w:val="17"/>
              </w:rPr>
              <w:t xml:space="preserve"> [S7]</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Brick or pottery kiln, jaggery pans</w:t>
            </w:r>
          </w:p>
        </w:tc>
        <w:tc>
          <w:tcPr>
            <w:tcW w:type="dxa" w:w="34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Cleaner fuel and common combustion facilities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Informal and clustered; data weak</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color w:val="1F4E79"/>
                <w:sz w:val="17"/>
                <w:szCs w:val="17"/>
              </w:rPr>
              <w:t xml:space="preserve"> [S3, S1, S2]</w:t>
            </w:r>
          </w:p>
        </w:tc>
      </w:tr>
    </w:tbl>
    <w:p>
      <w:pPr>
        <w:spacing w:after="100"/>
      </w:pPr>
    </w:p>
    <w:p>
      <w:pPr>
        <w:spacing w:after="120" w:line="288"/>
        <w:jc w:val="left"/>
      </w:pPr>
      <w:r>
        <w:t xml:space="preserve">The one-page report contains total emissions with trust index, top three hotspots, cost link, the best scenario found, and a standard “method and data quality” note. Because climate-finance applications need emission and energy information that small units struggle to prepare </w:t>
      </w:r>
      <w:r>
        <w:rPr>
          <w:b/>
          <w:bCs/>
          <w:color w:val="1F4E79"/>
          <w:sz w:val="17"/>
          <w:szCs w:val="17"/>
        </w:rPr>
        <w:t xml:space="preserve"> [S3]</w:t>
      </w:r>
      <w:r>
        <w:t xml:space="preserve">, the report is formatted to be reusable for buyer questionnaires and loan or scheme applications.</w:t>
      </w:r>
    </w:p>
    <w:p>
      <w:pPr>
        <w:pStyle w:val="Heading2"/>
        <w:keepNext/>
      </w:pPr>
      <w:r>
        <w:t xml:space="preserve">6.10 Dashboard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Screen</w:t>
            </w:r>
          </w:p>
        </w:tc>
        <w:tc>
          <w:tcPr>
            <w:tcW w:type="dxa" w:w="68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Content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1. Data entry</w:t>
            </w:r>
          </w:p>
        </w:tc>
        <w:tc>
          <w:tcPr>
            <w:tcW w:type="dxa" w:w="68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Month selector; grouped form with a Measured / Estimated / Default selector per field; unit hints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2. Summary</w:t>
            </w:r>
          </w:p>
        </w:tc>
        <w:tc>
          <w:tcPr>
            <w:tcW w:type="dxa" w:w="68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Total tCO2e this month and year to date; trust index gauge; emissions per ₹ lakh of sales or per unit output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3. Hotspots</w:t>
            </w:r>
          </w:p>
        </w:tc>
        <w:tc>
          <w:tcPr>
            <w:tcW w:type="dxa" w:w="68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Pareto chart; table with trust badges; cost per tonne column</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4. What-if</w:t>
            </w:r>
          </w:p>
        </w:tc>
        <w:tc>
          <w:tcPr>
            <w:tcW w:type="dxa" w:w="68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Sliders and dropdowns for scenarios; before-and-after bars; list of saved scenarios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5. Report</w:t>
            </w:r>
          </w:p>
        </w:tc>
        <w:tc>
          <w:tcPr>
            <w:tcW w:type="dxa" w:w="68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Preview and download of the one-page summary; method note and factor sources</w:t>
            </w:r>
          </w:p>
        </w:tc>
      </w:tr>
    </w:tbl>
    <w:p>
      <w:pPr>
        <w:pStyle w:val="Heading1"/>
        <w:pageBreakBefore/>
      </w:pPr>
      <w:r>
        <w:t xml:space="preserve">7. Worked Example with a Sample Factory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24"/>
              <w:bottom w:val="single" w:color="C55A11" w:sz="4"/>
              <w:right w:val="single" w:color="C55A11" w:sz="4"/>
            </w:tcBorders>
            <w:shd w:fill="FFF4E5" w:color="auto" w:val="clear"/>
            <w:tcMar>
              <w:top w:type="dxa" w:w="100"/>
              <w:left w:type="dxa" w:w="160"/>
              <w:bottom w:type="dxa" w:w="100"/>
              <w:right w:type="dxa" w:w="160"/>
            </w:tcMar>
          </w:tcPr>
          <w:p>
            <w:pPr>
              <w:spacing w:after="60"/>
            </w:pPr>
            <w:r>
              <w:rPr>
                <w:b/>
                <w:bCs/>
                <w:color w:val="C55A11"/>
                <w:sz w:val="21"/>
                <w:szCs w:val="21"/>
              </w:rPr>
              <w:t xml:space="preserve">Illustration only</w:t>
            </w:r>
          </w:p>
          <w:p>
            <w:pPr>
              <w:spacing w:after="60"/>
            </w:pPr>
            <w:r>
              <w:rPr>
                <w:sz w:val="20"/>
                <w:szCs w:val="20"/>
              </w:rPr>
              <w:t xml:space="preserve">The factory below is invented to demonstrate the arithmetic. Quantities, prices and trust classes are placeholders </w:t>
            </w:r>
            <w:r>
              <w:rPr>
                <w:i/>
                <w:iCs/>
                <w:color w:val="C55A11"/>
                <w:sz w:val="17"/>
                <w:szCs w:val="17"/>
              </w:rPr>
              <w:t xml:space="preserve"> [Design choice]</w:t>
            </w:r>
            <w:r>
              <w:rPr>
                <w:sz w:val="20"/>
                <w:szCs w:val="20"/>
              </w:rPr>
              <w:t xml:space="preserve">. Emission factors and NCVs are CSTEP’s </w:t>
            </w:r>
            <w:r>
              <w:rPr>
                <w:b/>
                <w:bCs/>
                <w:color w:val="1F4E79"/>
                <w:sz w:val="17"/>
                <w:szCs w:val="17"/>
              </w:rPr>
              <w:t xml:space="preserve"> [S1]</w:t>
            </w:r>
            <w:r>
              <w:rPr>
                <w:sz w:val="20"/>
                <w:szCs w:val="20"/>
              </w:rPr>
              <w:t xml:space="preserve">; the grid factor is the 2023–24 figure reported for the CEA database </w:t>
            </w:r>
            <w:r>
              <w:rPr>
                <w:b/>
                <w:bCs/>
                <w:color w:val="1F4E79"/>
                <w:sz w:val="17"/>
                <w:szCs w:val="17"/>
              </w:rPr>
              <w:t xml:space="preserve"> [S16]</w:t>
            </w:r>
            <w:r>
              <w:rPr>
                <w:sz w:val="20"/>
                <w:szCs w:val="20"/>
              </w:rPr>
              <w:t xml:space="preserve"> and should be updated before real use. All results were computed by the same formulas as in Section 6.4 </w:t>
            </w:r>
            <w:r>
              <w:rPr>
                <w:i/>
                <w:iCs/>
                <w:color w:val="7030A0"/>
                <w:sz w:val="17"/>
                <w:szCs w:val="17"/>
              </w:rPr>
              <w:t xml:space="preserve"> [Derived analysis]</w:t>
            </w:r>
            <w:r>
              <w:rPr>
                <w:sz w:val="20"/>
                <w:szCs w:val="20"/>
              </w:rPr>
              <w:t xml:space="preserve">.</w:t>
            </w:r>
          </w:p>
        </w:tc>
      </w:tr>
    </w:tbl>
    <w:p>
      <w:pPr>
        <w:spacing w:after="100"/>
      </w:pPr>
    </w:p>
    <w:p>
      <w:pPr>
        <w:pStyle w:val="Heading2"/>
        <w:keepNext/>
      </w:pPr>
      <w:r>
        <w:t xml:space="preserve">7.1 Step 1: inputs and emission calculation</w:t>
      </w:r>
    </w:p>
    <w:p>
      <w:pPr>
        <w:keepNext/>
        <w:spacing w:after="60" w:before="120"/>
      </w:pPr>
      <w:r>
        <w:rPr>
          <w:i/>
          <w:iCs/>
          <w:color w:val="404040"/>
          <w:sz w:val="18"/>
          <w:szCs w:val="18"/>
        </w:rPr>
        <w:t xml:space="preserve">Table 7.1: Monthly inputs and calculated emissions (illustrative factory)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26"/>
        <w:gridCol w:w="1000"/>
        <w:gridCol w:w="2700"/>
        <w:gridCol w:w="100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Activity</w:t>
            </w:r>
          </w:p>
        </w:tc>
        <w:tc>
          <w:tcPr>
            <w:tcW w:type="dxa" w:w="23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Quantity</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Energy (TJ)</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Factor basis</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tCO2e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Grid electricity</w:t>
            </w:r>
          </w:p>
        </w:tc>
        <w:tc>
          <w:tcPr>
            <w:tcW w:type="dxa" w:w="2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18,000 kWh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0.727 tCO2/MWh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13.09</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Coal (boiler)</w:t>
            </w:r>
          </w:p>
        </w:tc>
        <w:tc>
          <w:tcPr>
            <w:tcW w:type="dxa" w:w="2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10,000 kg</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0.1960</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NCV 19.6; 95.81 t/TJ CO2; CH4 10, N2O 1.5 kg/TJ</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18.91</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Diesel (generator and vehicle)</w:t>
            </w:r>
          </w:p>
        </w:tc>
        <w:tc>
          <w:tcPr>
            <w:tcW w:type="dxa" w:w="2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2,000 L (1,700 kg at 0.85 kg/L)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0.0736</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NCV 43.3; 74.1 t/TJ CO2; CH4 3, N2O 0.6 kg/TJ</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5.47</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LPG (heating)</w:t>
            </w:r>
          </w:p>
        </w:tc>
        <w:tc>
          <w:tcPr>
            <w:tcW w:type="dxa" w:w="2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500 kg</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0.0236</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NCV 47.3; 63.1 t/TJ CO2; CH4 5, N2O 0.1 kg/TJ</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1.50</w:t>
            </w:r>
          </w:p>
        </w:tc>
      </w:tr>
      <w:tr>
        <w:trPr>
          <w:cantSplit/>
        </w:trPr>
        <w:tc>
          <w:tcPr>
            <w:tcW w:type="dxa" w:w="20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left"/>
            </w:pPr>
            <w:r>
              <w:rPr>
                <w:b/>
                <w:bCs/>
                <w:sz w:val="17"/>
                <w:szCs w:val="17"/>
              </w:rPr>
              <w:t xml:space="preserve">Total</w:t>
            </w:r>
          </w:p>
        </w:tc>
        <w:tc>
          <w:tcPr>
            <w:tcW w:type="dxa" w:w="2326"/>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left"/>
            </w:pPr>
          </w:p>
        </w:tc>
        <w:tc>
          <w:tcPr>
            <w:tcW w:type="dxa" w:w="10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p>
        </w:tc>
        <w:tc>
          <w:tcPr>
            <w:tcW w:type="dxa" w:w="27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left"/>
            </w:pPr>
          </w:p>
        </w:tc>
        <w:tc>
          <w:tcPr>
            <w:tcW w:type="dxa" w:w="10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7"/>
                <w:szCs w:val="17"/>
              </w:rPr>
              <w:t xml:space="preserve">38.97</w:t>
            </w:r>
          </w:p>
        </w:tc>
      </w:tr>
    </w:tbl>
    <w:p>
      <w:pPr>
        <w:spacing w:after="160" w:before="60"/>
      </w:pPr>
      <w:r>
        <w:rPr>
          <w:i/>
          <w:iCs/>
          <w:color w:val="7030A0"/>
          <w:sz w:val="17"/>
          <w:szCs w:val="17"/>
        </w:rPr>
        <w:t xml:space="preserve"> [Derived analysis]</w:t>
      </w:r>
      <w:r>
        <w:rPr>
          <w:i/>
          <w:iCs/>
          <w:color w:val="404040"/>
          <w:sz w:val="17"/>
          <w:szCs w:val="17"/>
        </w:rPr>
        <w:t xml:space="preserve"> Example calculation for coal: 10,000 kg = 0.01 kt; energy = 0.01 × 19.6 = 0.196 TJ; CO2 = 0.196 × 95.81 = 18.78 t; CH4 = 0.196 × 10 kg × 28 = 54.9 kg CO2e; N2O = 0.196 × 1.5 kg × 265 = 77.9 kg CO2e; total 18.91 tCO2e.</w:t>
      </w:r>
    </w:p>
    <w:p>
      <w:pPr>
        <w:pStyle w:val="Heading2"/>
        <w:keepNext/>
      </w:pPr>
      <w:r>
        <w:t xml:space="preserve">7.2 Step 2: hotspots, cost link and trust</w:t>
      </w:r>
    </w:p>
    <w:p>
      <w:pPr>
        <w:keepNext/>
        <w:spacing w:after="60" w:before="120"/>
      </w:pPr>
      <w:r>
        <w:rPr>
          <w:i/>
          <w:iCs/>
          <w:color w:val="404040"/>
          <w:sz w:val="18"/>
          <w:szCs w:val="18"/>
        </w:rPr>
        <w:t xml:space="preserve">Table 7.2: Hotspot and cost-link table, sorted by emissions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150"/>
        <w:gridCol w:w="1400"/>
        <w:gridCol w:w="1000"/>
        <w:gridCol w:w="1200"/>
        <w:gridCol w:w="1376"/>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Activity</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tCO2e</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Emission share</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Monthly cost</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Cost share</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 per tCO2e</w:t>
            </w:r>
          </w:p>
        </w:tc>
        <w:tc>
          <w:tcPr>
            <w:tcW w:type="dxa" w:w="13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Data class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Coal (boiler)</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18.91</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48.5%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₹90,000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19.4%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4,759</w:t>
            </w:r>
          </w:p>
        </w:tc>
        <w:tc>
          <w:tcPr>
            <w:tcW w:type="dxa" w:w="13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Estimated</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Grid electricity</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13.09</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33.6%</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₹144,000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31.0%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11,004</w:t>
            </w:r>
          </w:p>
        </w:tc>
        <w:tc>
          <w:tcPr>
            <w:tcW w:type="dxa" w:w="13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Measured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Diesel (generator and vehicle)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5.47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14.0%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₹180,000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38.8%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32,892</w:t>
            </w:r>
          </w:p>
        </w:tc>
        <w:tc>
          <w:tcPr>
            <w:tcW w:type="dxa" w:w="13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Estimated</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LPG (heating)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1.50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3.8%</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₹50,000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10.8%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33,417</w:t>
            </w:r>
          </w:p>
        </w:tc>
        <w:tc>
          <w:tcPr>
            <w:tcW w:type="dxa" w:w="13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Default</w:t>
            </w:r>
          </w:p>
        </w:tc>
      </w:tr>
    </w:tbl>
    <w:p>
      <w:pPr>
        <w:spacing w:after="160" w:before="60"/>
      </w:pPr>
      <w:r>
        <w:rPr>
          <w:i/>
          <w:iCs/>
          <w:color w:val="7030A0"/>
          <w:sz w:val="17"/>
          <w:szCs w:val="17"/>
        </w:rPr>
        <w:t xml:space="preserve"> [Derived analysis]</w:t>
      </w:r>
      <w:r>
        <w:rPr>
          <w:i/>
          <w:iCs/>
          <w:color w:val="404040"/>
          <w:sz w:val="17"/>
          <w:szCs w:val="17"/>
        </w:rPr>
        <w:t xml:space="preserve"> Costs use placeholder prices (Table 7.1 basis). Reading: the top two activities cause 82.1% of emissions. Coal emits the most yet costs the least per tonne of CO2e, whereas diesel and LPG are modest emitters that cost over ₹30,000 per tonne, so the best financial priority and the best emission priority are not the same activity.</w:t>
      </w:r>
    </w:p>
    <w:p>
      <w:pPr>
        <w:spacing w:after="120" w:line="288"/>
        <w:jc w:val="left"/>
      </w:pPr>
      <w:r>
        <w:rPr>
          <w:b/>
          <w:bCs/>
        </w:rPr>
        <w:t xml:space="preserve">Trust index.</w:t>
      </w:r>
      <w:r>
        <w:t xml:space="preserve"> Using the scores in Table 6.3, T = Σ(E_i × s_i) / ΣE_i = 0.72 (</w:t>
      </w:r>
      <w:r>
        <w:rPr>
          <w:i/>
          <w:iCs/>
          <w:color w:val="C55A11"/>
          <w:sz w:val="17"/>
          <w:szCs w:val="17"/>
        </w:rPr>
        <w:t xml:space="preserve"> [Design choice]</w:t>
      </w:r>
      <w:r>
        <w:t xml:space="preserve">), which falls in the “medium” band. The indicative total uncertainty by root-sum-square is ±12.9%, so the monthly footprint is reported as about 38.97 ± 5.0 tCO2e. The dashboard would advise improving coal and diesel data first (for example by weighing coal deliveries and logging generator hours), because they hold the most estimated emissions.</w:t>
      </w:r>
    </w:p>
    <w:p>
      <w:pPr>
        <w:pStyle w:val="Heading2"/>
        <w:keepNext/>
      </w:pPr>
      <w:r>
        <w:t xml:space="preserve">7.3 Step 3: what-if scenarios</w:t>
      </w:r>
    </w:p>
    <w:p>
      <w:pPr>
        <w:keepNext/>
        <w:spacing w:after="60" w:before="120"/>
      </w:pPr>
      <w:r>
        <w:rPr>
          <w:i/>
          <w:iCs/>
          <w:color w:val="404040"/>
          <w:sz w:val="18"/>
          <w:szCs w:val="18"/>
        </w:rPr>
        <w:t xml:space="preserve">Table 7.3: Scenario results per month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26"/>
        <w:gridCol w:w="1200"/>
        <w:gridCol w:w="1000"/>
        <w:gridCol w:w="180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Scenario</w:t>
            </w:r>
          </w:p>
        </w:tc>
        <w:tc>
          <w:tcPr>
            <w:tcW w:type="dxa" w:w="2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Change applied</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tCO2e avoided</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 of total</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Energy cost saved (₹)</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 Cut generator idle running</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Diesel use −15%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0.82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2.1%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27,000</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B. Boiler tuning and insulation</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Coal use −10%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1.89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4.9%</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9,000</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 Rooftop solar for part of load</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20% of grid power replaced, solar factor taken as zero</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2.62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6.7%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28,800 (before capital cost)</w:t>
            </w:r>
          </w:p>
        </w:tc>
      </w:tr>
      <w:tr>
        <w:trPr>
          <w:cantSplit/>
        </w:trPr>
        <w:tc>
          <w:tcPr>
            <w:tcW w:type="dxa" w:w="24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left"/>
            </w:pPr>
            <w:r>
              <w:rPr>
                <w:b/>
                <w:bCs/>
                <w:sz w:val="17"/>
                <w:szCs w:val="17"/>
              </w:rPr>
              <w:t xml:space="preserve">A + B + C combined</w:t>
            </w:r>
          </w:p>
        </w:tc>
        <w:tc>
          <w:tcPr>
            <w:tcW w:type="dxa" w:w="2626"/>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left"/>
            </w:pPr>
            <w:r>
              <w:rPr>
                <w:b/>
                <w:bCs/>
                <w:sz w:val="17"/>
                <w:szCs w:val="17"/>
              </w:rPr>
              <w:t xml:space="preserve">All three together</w:t>
            </w:r>
          </w:p>
        </w:tc>
        <w:tc>
          <w:tcPr>
            <w:tcW w:type="dxa" w:w="12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7"/>
                <w:szCs w:val="17"/>
              </w:rPr>
              <w:t xml:space="preserve">5.33</w:t>
            </w:r>
          </w:p>
        </w:tc>
        <w:tc>
          <w:tcPr>
            <w:tcW w:type="dxa" w:w="10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7"/>
                <w:szCs w:val="17"/>
              </w:rPr>
              <w:t xml:space="preserve">13.7%</w:t>
            </w:r>
          </w:p>
        </w:tc>
        <w:tc>
          <w:tcPr>
            <w:tcW w:type="dxa" w:w="18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7"/>
                <w:szCs w:val="17"/>
              </w:rPr>
              <w:t xml:space="preserve">64,800</w:t>
            </w:r>
          </w:p>
        </w:tc>
      </w:tr>
    </w:tbl>
    <w:p>
      <w:pPr>
        <w:spacing w:after="160" w:before="60"/>
      </w:pPr>
      <w:r>
        <w:rPr>
          <w:i/>
          <w:iCs/>
          <w:color w:val="7030A0"/>
          <w:sz w:val="17"/>
          <w:szCs w:val="17"/>
        </w:rPr>
        <w:t xml:space="preserve"> [Derived analysis]</w:t>
      </w:r>
      <w:r>
        <w:rPr>
          <w:i/>
          <w:iCs/>
          <w:color w:val="404040"/>
          <w:sz w:val="17"/>
          <w:szCs w:val="17"/>
        </w:rPr>
        <w:t xml:space="preserve"> Scenario C ignores solar capital cost and grid-banking arrangements, which a fuller version should include; the example is meant to show the mechanics, not a financial appraisal.</w:t>
      </w:r>
    </w:p>
    <w:p>
      <w:pPr>
        <w:spacing w:after="120" w:line="288"/>
        <w:jc w:val="left"/>
      </w:pPr>
      <w:r>
        <w:t xml:space="preserve">The simulator’s value lies in showing trade-offs: scenario A saves the most money (about ₹27,000) while avoiding little CO2e, scenario B avoids more than twice as many tonnes for a smaller saving, and scenario C needs an investment case. That is the type of decision a manager can make without a consultant, and the report then gives a short, buyer-ready account of what was found </w:t>
      </w:r>
      <w:r>
        <w:rPr>
          <w:b/>
          <w:bCs/>
          <w:color w:val="1F4E79"/>
          <w:sz w:val="17"/>
          <w:szCs w:val="17"/>
        </w:rPr>
        <w:t xml:space="preserve"> [S3]</w:t>
      </w:r>
      <w:r>
        <w:t xml:space="preserve">.</w:t>
      </w:r>
    </w:p>
    <w:p>
      <w:pPr>
        <w:pStyle w:val="Heading1"/>
        <w:pageBreakBefore/>
      </w:pPr>
      <w:r>
        <w:t xml:space="preserve">8. Implementation Roadmap and Validation Plan</w:t>
      </w:r>
    </w:p>
    <w:p>
      <w:pPr>
        <w:spacing w:after="120" w:line="288"/>
        <w:jc w:val="left"/>
      </w:pPr>
      <w:r>
        <w:t xml:space="preserve">The roadmap is intentionally short and sequential so that each phase produces something that can be shown and checked. Durations assume part-time work over about six weeks and are adjustable </w:t>
      </w:r>
      <w:r>
        <w:rPr>
          <w:i/>
          <w:iCs/>
          <w:color w:val="C55A11"/>
          <w:sz w:val="17"/>
          <w:szCs w:val="17"/>
        </w:rPr>
        <w:t xml:space="preserve"> [Design choice]</w:t>
      </w:r>
      <w:r>
        <w:t xml:space="preserve">.</w:t>
      </w:r>
    </w:p>
    <w:p>
      <w:pPr>
        <w:keepNext/>
        <w:spacing w:after="60" w:before="120"/>
      </w:pPr>
      <w:r>
        <w:rPr>
          <w:i/>
          <w:iCs/>
          <w:color w:val="404040"/>
          <w:sz w:val="18"/>
          <w:szCs w:val="18"/>
        </w:rPr>
        <w:t xml:space="preserve">Table 8.1: Phased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526"/>
        <w:gridCol w:w="240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Phase</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Timing</w:t>
            </w:r>
          </w:p>
        </w:tc>
        <w:tc>
          <w:tcPr>
            <w:tcW w:type="dxa" w:w="35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Deliverable</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Check before moving 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0. Scope and data model</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Week 1</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Final input fields, units, boundary statement; factor library skeleton with source and year for each factor</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Every factor traceable to </w:t>
            </w:r>
            <w:r>
              <w:rPr>
                <w:b/>
                <w:bCs/>
                <w:color w:val="1F4E79"/>
                <w:sz w:val="17"/>
                <w:szCs w:val="17"/>
              </w:rPr>
              <w:t xml:space="preserve"> [S1]</w:t>
            </w:r>
            <w:r>
              <w:rPr>
                <w:sz w:val="17"/>
                <w:szCs w:val="17"/>
              </w:rPr>
              <w:t xml:space="preserve"> or </w:t>
            </w:r>
            <w:r>
              <w:rPr>
                <w:b/>
                <w:bCs/>
                <w:color w:val="1F4E79"/>
                <w:sz w:val="17"/>
                <w:szCs w:val="17"/>
              </w:rPr>
              <w:t xml:space="preserve"> [S16]</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1. Calculation engine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Weeks 1–2</w:t>
            </w:r>
          </w:p>
        </w:tc>
        <w:tc>
          <w:tcPr>
            <w:tcW w:type="dxa" w:w="3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Emission calculator for fuels and electricity with unit conversions</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Matches hand calculation in Section 7 to two decimals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2. Trust score and hotspots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Weeks 2–3</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Three-class data typing, trust index, uncertainty range, Pareto chart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Index and range reproduce Section 7 values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3. Cost link and what-if</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Weeks 3–4</w:t>
            </w:r>
          </w:p>
        </w:tc>
        <w:tc>
          <w:tcPr>
            <w:tcW w:type="dxa" w:w="3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Cost columns, ₹/tCO2e, scenario builder with three scenario types</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Scenario results reproduce Table 7.3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4. Recommendation and report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Week 5</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Rule library from Table 6.4; one-page summary export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Each rule cites a source</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5. Validation and case study</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Week 6</w:t>
            </w:r>
          </w:p>
        </w:tc>
        <w:tc>
          <w:tcPr>
            <w:tcW w:type="dxa" w:w="3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Back-test against published data (below); case factory or realistic synthetic case; user feedback</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Written validation note with limitations</w:t>
            </w:r>
          </w:p>
        </w:tc>
      </w:tr>
    </w:tbl>
    <w:p>
      <w:pPr>
        <w:spacing w:after="100"/>
      </w:pPr>
    </w:p>
    <w:p>
      <w:pPr>
        <w:pStyle w:val="Heading2"/>
        <w:keepNext/>
      </w:pPr>
      <w:r>
        <w:t xml:space="preserve">8.1 Suggested technical approach</w:t>
      </w:r>
    </w:p>
    <w:p>
      <w:pPr>
        <w:pStyle w:val="ListParagraph"/>
        <w:numPr>
          <w:ilvl w:val="0"/>
          <w:numId w:val="2"/>
        </w:numPr>
        <w:spacing w:after="70" w:line="276"/>
      </w:pPr>
      <w:r>
        <w:rPr>
          <w:b/>
          <w:bCs/>
        </w:rPr>
        <w:t xml:space="preserve">Keep the stack simple.</w:t>
      </w:r>
      <w:r>
        <w:t xml:space="preserve"> A single-page web app with a small Python or JavaScript back end, a local database or spreadsheet store, and a charting library is enough. The calculation engine should be a separate, tested function so evaluators can inspect it </w:t>
      </w:r>
      <w:r>
        <w:rPr>
          <w:i/>
          <w:iCs/>
          <w:color w:val="C55A11"/>
          <w:sz w:val="17"/>
          <w:szCs w:val="17"/>
        </w:rPr>
        <w:t xml:space="preserve"> [Design choice]</w:t>
      </w:r>
      <w:r>
        <w:t xml:space="preserve">.</w:t>
      </w:r>
    </w:p>
    <w:p>
      <w:pPr>
        <w:pStyle w:val="ListParagraph"/>
        <w:numPr>
          <w:ilvl w:val="0"/>
          <w:numId w:val="2"/>
        </w:numPr>
        <w:spacing w:after="70" w:line="276"/>
      </w:pPr>
      <w:r>
        <w:rPr>
          <w:b/>
          <w:bCs/>
        </w:rPr>
        <w:t xml:space="preserve">Use AI tools for scaffolding, but own the logic.</w:t>
      </w:r>
      <w:r>
        <w:t xml:space="preserve"> Let AI tools generate screens and boilerplate; write and verify the emission formulas, factor library and trust-score rules yourself against Sections 6 and 7 so you can explain every number </w:t>
      </w:r>
      <w:r>
        <w:rPr>
          <w:i/>
          <w:iCs/>
          <w:color w:val="C55A11"/>
          <w:sz w:val="17"/>
          <w:szCs w:val="17"/>
        </w:rPr>
        <w:t xml:space="preserve"> [Design choice]</w:t>
      </w:r>
      <w:r>
        <w:t xml:space="preserve">.</w:t>
      </w:r>
    </w:p>
    <w:p>
      <w:pPr>
        <w:pStyle w:val="ListParagraph"/>
        <w:numPr>
          <w:ilvl w:val="0"/>
          <w:numId w:val="2"/>
        </w:numPr>
        <w:spacing w:after="70" w:line="276"/>
      </w:pPr>
      <w:r>
        <w:rPr>
          <w:b/>
          <w:bCs/>
        </w:rPr>
        <w:t xml:space="preserve">Store sources with the data.</w:t>
      </w:r>
      <w:r>
        <w:t xml:space="preserve"> Each factor record carries value, unit, source label and year; the report prints them. This is the practical remedy for the unit and traceability issues in Section 4.3 </w:t>
      </w:r>
      <w:r>
        <w:rPr>
          <w:i/>
          <w:iCs/>
          <w:color w:val="7030A0"/>
          <w:sz w:val="17"/>
          <w:szCs w:val="17"/>
        </w:rPr>
        <w:t xml:space="preserve"> [Derived analysis]</w:t>
      </w:r>
      <w:r>
        <w:t xml:space="preserve">.</w:t>
      </w:r>
    </w:p>
    <w:p>
      <w:pPr>
        <w:pStyle w:val="Heading2"/>
        <w:keepNext/>
      </w:pPr>
      <w:r>
        <w:t xml:space="preserve">8.2 Validation plan</w:t>
      </w:r>
    </w:p>
    <w:p>
      <w:pPr>
        <w:pStyle w:val="ListParagraph"/>
        <w:numPr>
          <w:ilvl w:val="0"/>
          <w:numId w:val="4"/>
        </w:numPr>
        <w:spacing w:after="70" w:line="276"/>
      </w:pPr>
      <w:r>
        <w:rPr>
          <w:b/>
          <w:bCs/>
        </w:rPr>
        <w:t xml:space="preserve">Arithmetic validation.</w:t>
      </w:r>
      <w:r>
        <w:t xml:space="preserve"> Re-implement the CSTEP calculation chain for a few fuel and year combinations from Table 7 and compare with Table 8; the engine should reproduce HSDO, LPG and LSHS values within rounding, and the furnace-oil discrepancy (Section 4.3) should be reported as a finding rather than corrected silently </w:t>
      </w:r>
      <w:r>
        <w:rPr>
          <w:b/>
          <w:bCs/>
          <w:color w:val="1F4E79"/>
          <w:sz w:val="17"/>
          <w:szCs w:val="17"/>
        </w:rPr>
        <w:t xml:space="preserve"> [S1]</w:t>
      </w:r>
      <w:r>
        <w:t xml:space="preserve"> </w:t>
      </w:r>
      <w:r>
        <w:rPr>
          <w:i/>
          <w:iCs/>
          <w:color w:val="7030A0"/>
          <w:sz w:val="17"/>
          <w:szCs w:val="17"/>
        </w:rPr>
        <w:t xml:space="preserve"> [Derived analysis]</w:t>
      </w:r>
      <w:r>
        <w:t xml:space="preserve">.</w:t>
      </w:r>
    </w:p>
    <w:p>
      <w:pPr>
        <w:pStyle w:val="ListParagraph"/>
        <w:numPr>
          <w:ilvl w:val="0"/>
          <w:numId w:val="4"/>
        </w:numPr>
        <w:spacing w:after="70" w:line="276"/>
      </w:pPr>
      <w:r>
        <w:rPr>
          <w:b/>
          <w:bCs/>
        </w:rPr>
        <w:t xml:space="preserve">Benchmark plausibility.</w:t>
      </w:r>
      <w:r>
        <w:t xml:space="preserve"> Compare the CO2e per ₹ of fuel expenditure for sample factories with CEEW’s sector-level GVA-to-fuel-expenditure ratios (Table B.3) to check that outputs are of a plausible order </w:t>
      </w:r>
      <w:r>
        <w:rPr>
          <w:b/>
          <w:bCs/>
          <w:color w:val="1F4E79"/>
          <w:sz w:val="17"/>
          <w:szCs w:val="17"/>
        </w:rPr>
        <w:t xml:space="preserve"> [S2]</w:t>
      </w:r>
      <w:r>
        <w:t xml:space="preserve">.</w:t>
      </w:r>
    </w:p>
    <w:p>
      <w:pPr>
        <w:pStyle w:val="ListParagraph"/>
        <w:numPr>
          <w:ilvl w:val="0"/>
          <w:numId w:val="4"/>
        </w:numPr>
        <w:spacing w:after="70" w:line="276"/>
      </w:pPr>
      <w:r>
        <w:rPr>
          <w:b/>
          <w:bCs/>
        </w:rPr>
        <w:t xml:space="preserve">Case study.</w:t>
      </w:r>
      <w:r>
        <w:t xml:space="preserve"> Use data from one real small unit if access can be arranged, otherwise a documented synthetic case modelled on a CEEW or CSTEP cluster. State clearly which it is </w:t>
      </w:r>
      <w:r>
        <w:rPr>
          <w:i/>
          <w:iCs/>
          <w:color w:val="C55A11"/>
          <w:sz w:val="17"/>
          <w:szCs w:val="17"/>
        </w:rPr>
        <w:t xml:space="preserve"> [Design choice]</w:t>
      </w:r>
      <w:r>
        <w:t xml:space="preserve">.</w:t>
      </w:r>
    </w:p>
    <w:p>
      <w:pPr>
        <w:pStyle w:val="ListParagraph"/>
        <w:numPr>
          <w:ilvl w:val="0"/>
          <w:numId w:val="4"/>
        </w:numPr>
        <w:spacing w:after="70" w:line="276"/>
      </w:pPr>
      <w:r>
        <w:rPr>
          <w:b/>
          <w:bCs/>
        </w:rPr>
        <w:t xml:space="preserve">Sensitivity analysis.</w:t>
      </w:r>
      <w:r>
        <w:t xml:space="preserve"> Vary trust-class scores and ± ranges, and the grid factor, to show how conclusions change; hotspot ranking should be stable even when scores change </w:t>
      </w:r>
      <w:r>
        <w:rPr>
          <w:i/>
          <w:iCs/>
          <w:color w:val="C55A11"/>
          <w:sz w:val="17"/>
          <w:szCs w:val="17"/>
        </w:rPr>
        <w:t xml:space="preserve"> [Design choice]</w:t>
      </w:r>
      <w:r>
        <w:t xml:space="preserve">.</w:t>
      </w:r>
    </w:p>
    <w:p>
      <w:pPr>
        <w:pStyle w:val="ListParagraph"/>
        <w:numPr>
          <w:ilvl w:val="0"/>
          <w:numId w:val="4"/>
        </w:numPr>
        <w:spacing w:after="70" w:line="276"/>
      </w:pPr>
      <w:r>
        <w:rPr>
          <w:b/>
          <w:bCs/>
        </w:rPr>
        <w:t xml:space="preserve">Usability test.</w:t>
      </w:r>
      <w:r>
        <w:t xml:space="preserve"> Ask three to five non-experts to enter a month of data and interpret the dashboard; record time taken and misunderstandings </w:t>
      </w:r>
      <w:r>
        <w:rPr>
          <w:i/>
          <w:iCs/>
          <w:color w:val="C55A11"/>
          <w:sz w:val="17"/>
          <w:szCs w:val="17"/>
        </w:rPr>
        <w:t xml:space="preserve"> [Design choice]</w:t>
      </w:r>
      <w:r>
        <w:t xml:space="preserve">.</w:t>
      </w:r>
    </w:p>
    <w:p>
      <w:pPr>
        <w:pStyle w:val="Heading2"/>
        <w:keepNext/>
      </w:pPr>
      <w:r>
        <w:t xml:space="preserve">8.3 Possible future extensions</w:t>
      </w:r>
    </w:p>
    <w:p>
      <w:pPr>
        <w:pStyle w:val="ListParagraph"/>
        <w:numPr>
          <w:ilvl w:val="0"/>
          <w:numId w:val="2"/>
        </w:numPr>
        <w:spacing w:after="70" w:line="276"/>
      </w:pPr>
      <w:r>
        <w:t xml:space="preserve">Reading data automatically from electricity bills and invoices; digital transaction data have been proposed for automated SME carbon accounting </w:t>
      </w:r>
      <w:r>
        <w:rPr>
          <w:b/>
          <w:bCs/>
          <w:color w:val="1F4E79"/>
          <w:sz w:val="17"/>
          <w:szCs w:val="17"/>
        </w:rPr>
        <w:t xml:space="preserve"> [S15]</w:t>
      </w:r>
      <w:r>
        <w:t xml:space="preserve">.</w:t>
      </w:r>
    </w:p>
    <w:p>
      <w:pPr>
        <w:pStyle w:val="ListParagraph"/>
        <w:numPr>
          <w:ilvl w:val="0"/>
          <w:numId w:val="2"/>
        </w:numPr>
        <w:spacing w:after="70" w:line="276"/>
      </w:pPr>
      <w:r>
        <w:t xml:space="preserve">Cluster-level aggregation across many factories to give anonymised benchmarks, echoing the cluster-based approach recommended for scaling in CSTEP’s project summary </w:t>
      </w:r>
      <w:r>
        <w:rPr>
          <w:b/>
          <w:bCs/>
          <w:color w:val="1F4E79"/>
          <w:sz w:val="17"/>
          <w:szCs w:val="17"/>
        </w:rPr>
        <w:t xml:space="preserve"> [S4]</w:t>
      </w:r>
      <w:r>
        <w:t xml:space="preserve">.</w:t>
      </w:r>
    </w:p>
    <w:p>
      <w:pPr>
        <w:pStyle w:val="ListParagraph"/>
        <w:numPr>
          <w:ilvl w:val="0"/>
          <w:numId w:val="2"/>
        </w:numPr>
        <w:spacing w:after="70" w:line="276"/>
      </w:pPr>
      <w:r>
        <w:t xml:space="preserve">Capital-cost and payback modelling, and links to schemes and green-finance products described by the Down To Earth article and the sources it cites </w:t>
      </w:r>
      <w:r>
        <w:rPr>
          <w:b/>
          <w:bCs/>
          <w:color w:val="1F4E79"/>
          <w:sz w:val="17"/>
          <w:szCs w:val="17"/>
        </w:rPr>
        <w:t xml:space="preserve"> [S3]</w:t>
      </w:r>
      <w:r>
        <w:t xml:space="preserve">.</w:t>
      </w:r>
    </w:p>
    <w:p>
      <w:pPr>
        <w:pStyle w:val="Heading1"/>
        <w:pageBreakBefore/>
      </w:pPr>
      <w:r>
        <w:t xml:space="preserve">9. Limitations, Risks and Ethics</w:t>
      </w:r>
    </w:p>
    <w:p>
      <w:pPr>
        <w:keepNext/>
        <w:spacing w:after="60" w:before="120"/>
      </w:pPr>
      <w:r>
        <w:rPr>
          <w:i/>
          <w:iCs/>
          <w:color w:val="404040"/>
          <w:sz w:val="18"/>
          <w:szCs w:val="18"/>
        </w:rPr>
        <w:t xml:space="preserve">Table 9.1: Limitations and how GreenEIS addresses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26"/>
        <w:gridCol w:w="320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Limitation or risk</w:t>
            </w:r>
          </w:p>
        </w:tc>
        <w:tc>
          <w:tcPr>
            <w:tcW w:type="dxa" w:w="33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Why it matters</w:t>
            </w:r>
          </w:p>
        </w:tc>
        <w:tc>
          <w:tcPr>
            <w:tcW w:type="dxa" w:w="3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Mitigation</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Self-reported data may be wrong or incomplete</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CEEW notes that survey responses rely on recall and lack verification </w:t>
            </w:r>
            <w:r>
              <w:rPr>
                <w:b/>
                <w:bCs/>
                <w:color w:val="1F4E79"/>
                <w:sz w:val="17"/>
                <w:szCs w:val="17"/>
              </w:rPr>
              <w:t xml:space="preserve"> [S2]</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Data-class tagging, trust index, prompts to attach invoices</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Default factors are national averages</w:t>
            </w:r>
          </w:p>
        </w:tc>
        <w:tc>
          <w:tcPr>
            <w:tcW w:type="dxa" w:w="3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Coal grade is unknown in most informal units, so CSTEP used one factor for all coal </w:t>
            </w:r>
            <w:r>
              <w:rPr>
                <w:b/>
                <w:bCs/>
                <w:color w:val="1F4E79"/>
                <w:sz w:val="17"/>
                <w:szCs w:val="17"/>
              </w:rPr>
              <w:t xml:space="preserve"> [S1]</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Flag defaults; allow grade override; show range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Trust-score numbers are not scientifically calibrated</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Scores and ± ranges are proposals </w:t>
            </w:r>
            <w:r>
              <w:rPr>
                <w:i/>
                <w:iCs/>
                <w:color w:val="C55A11"/>
                <w:sz w:val="17"/>
                <w:szCs w:val="17"/>
              </w:rPr>
              <w:t xml:space="preserve"> [Design choice]</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Calibrate to pedigree-matrix guidance </w:t>
            </w:r>
            <w:r>
              <w:rPr>
                <w:b/>
                <w:bCs/>
                <w:color w:val="1F4E79"/>
                <w:sz w:val="17"/>
                <w:szCs w:val="17"/>
              </w:rPr>
              <w:t xml:space="preserve"> [S9]</w:t>
            </w:r>
            <w:r>
              <w:rPr>
                <w:sz w:val="17"/>
                <w:szCs w:val="17"/>
              </w:rPr>
              <w:t xml:space="preserve">; present as indicative</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Scope limited to fuel and electricity</w:t>
            </w:r>
          </w:p>
        </w:tc>
        <w:tc>
          <w:tcPr>
            <w:tcW w:type="dxa" w:w="3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Process emissions are excluded even in the national studies </w:t>
            </w:r>
            <w:r>
              <w:rPr>
                <w:b/>
                <w:bCs/>
                <w:color w:val="1F4E79"/>
                <w:sz w:val="17"/>
                <w:szCs w:val="17"/>
              </w:rPr>
              <w:t xml:space="preserve"> [S2]</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State the boundary; list process emissions as future work</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Grid factor changes over time</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CEA updates its database periodically </w:t>
            </w:r>
            <w:r>
              <w:rPr>
                <w:b/>
                <w:bCs/>
                <w:color w:val="1F4E79"/>
                <w:sz w:val="17"/>
                <w:szCs w:val="17"/>
              </w:rPr>
              <w:t xml:space="preserve"> [S16]</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Version-stamped factors; update annually</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Recommendations may not fit local conditions</w:t>
            </w:r>
          </w:p>
        </w:tc>
        <w:tc>
          <w:tcPr>
            <w:tcW w:type="dxa" w:w="3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CSTEP found results differ by cluster and by technology cost </w:t>
            </w:r>
            <w:r>
              <w:rPr>
                <w:b/>
                <w:bCs/>
                <w:color w:val="1F4E79"/>
                <w:sz w:val="17"/>
                <w:szCs w:val="17"/>
              </w:rPr>
              <w:t xml:space="preserve"> [S7]</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Show cautions; present as suggestions, not engineering advice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Evidence base mixes years and definitions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The two national estimates cover different periods and definitions (Table 2.2)</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Cite the specific source and year with every figure</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Data privacy and commercial confidentiality</w:t>
            </w:r>
          </w:p>
        </w:tc>
        <w:tc>
          <w:tcPr>
            <w:tcW w:type="dxa" w:w="3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Energy and cost data are sensitive</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Store locally or with minimal personal data; export on user request</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Risk of “greenwashing”</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 score or report could be used to overstate performance</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Report always prints the method, data classes and trust index</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B" w:color="auto" w:val="clear"/>
            <w:tcMar>
              <w:top w:type="dxa" w:w="100"/>
              <w:left w:type="dxa" w:w="160"/>
              <w:bottom w:type="dxa" w:w="100"/>
              <w:right w:type="dxa" w:w="160"/>
            </w:tcMar>
          </w:tcPr>
          <w:p>
            <w:pPr>
              <w:spacing w:after="60"/>
            </w:pPr>
            <w:r>
              <w:rPr>
                <w:b/>
                <w:bCs/>
                <w:color w:val="1F4E79"/>
                <w:sz w:val="21"/>
                <w:szCs w:val="21"/>
              </w:rPr>
              <w:t xml:space="preserve">Honest framing for evaluators</w:t>
            </w:r>
          </w:p>
          <w:p>
            <w:pPr>
              <w:spacing w:after="60"/>
            </w:pPr>
            <w:r>
              <w:rPr>
                <w:sz w:val="20"/>
                <w:szCs w:val="20"/>
              </w:rPr>
              <w:t xml:space="preserve">GreenEIS estimates; it does not certify. Its strength is to make assumptions visible. Saying this clearly turns the limitations above into evidence of methodological care, which matches how the source studies describe their own limits </w:t>
            </w:r>
            <w:r>
              <w:rPr>
                <w:b/>
                <w:bCs/>
                <w:color w:val="1F4E79"/>
                <w:sz w:val="17"/>
                <w:szCs w:val="17"/>
              </w:rPr>
              <w:t xml:space="preserve"> [S1, S2]</w:t>
            </w:r>
            <w:r>
              <w:rPr>
                <w:sz w:val="20"/>
                <w:szCs w:val="20"/>
              </w:rPr>
              <w:t xml:space="preserve">.</w:t>
            </w:r>
          </w:p>
        </w:tc>
      </w:tr>
    </w:tbl>
    <w:p>
      <w:pPr>
        <w:pStyle w:val="Heading1"/>
        <w:pageBreakBefore/>
      </w:pPr>
      <w:r>
        <w:t xml:space="preserve">10. Questions Evaluators May Ask, with Evidence-Based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Question</w:t>
            </w:r>
          </w:p>
        </w:tc>
        <w:tc>
          <w:tcPr>
            <w:tcW w:type="dxa" w:w="62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Answer outline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Why focus on small and informal factories?</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They use about 13% of India’s coal and lignite and emit roughly 105–110 MtCO2e, yet have the least data and tools </w:t>
            </w:r>
            <w:r>
              <w:rPr>
                <w:b/>
                <w:bCs/>
                <w:color w:val="1F4E79"/>
                <w:sz w:val="17"/>
                <w:szCs w:val="17"/>
              </w:rPr>
              <w:t xml:space="preserve"> [S1, S2]</w:t>
            </w:r>
            <w:r>
              <w:rPr>
                <w:b w:val="false"/>
                <w:bCs w:val="false"/>
                <w:sz w:val="18"/>
                <w:szCs w:val="18"/>
              </w:rPr>
              <w:t xml:space="preserve">. They also face finance and capability barriers to change </w:t>
            </w:r>
            <w:r>
              <w:rPr>
                <w:b/>
                <w:bCs/>
                <w:color w:val="1F4E79"/>
                <w:sz w:val="17"/>
                <w:szCs w:val="17"/>
              </w:rPr>
              <w:t xml:space="preserve"> [S3]</w:t>
            </w:r>
            <w:r>
              <w:rPr>
                <w:b w:val="false"/>
                <w:bCs w:val="false"/>
                <w:sz w:val="18"/>
                <w:szCs w:val="18"/>
              </w:rPr>
              <w:t xml:space="preserve">.</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How is this different from existing carbon calculators?</w:t>
            </w:r>
          </w:p>
        </w:tc>
        <w:tc>
          <w:tcPr>
            <w:tcW w:type="dxa" w:w="6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Generic tools estimate emissions, often with global factors and subscription models </w:t>
            </w:r>
            <w:r>
              <w:rPr>
                <w:b/>
                <w:bCs/>
                <w:color w:val="1F4E79"/>
                <w:sz w:val="17"/>
                <w:szCs w:val="17"/>
              </w:rPr>
              <w:t xml:space="preserve"> [S22]</w:t>
            </w:r>
            <w:r>
              <w:rPr>
                <w:b w:val="false"/>
                <w:bCs w:val="false"/>
                <w:sz w:val="18"/>
                <w:szCs w:val="18"/>
              </w:rPr>
              <w:t xml:space="preserve">. GreenEIS adds a data-quality layer, a link between cost and emissions, and a what-if simulator, using Indian default factors </w:t>
            </w:r>
            <w:r>
              <w:rPr>
                <w:b/>
                <w:bCs/>
                <w:color w:val="1F4E79"/>
                <w:sz w:val="17"/>
                <w:szCs w:val="17"/>
              </w:rPr>
              <w:t xml:space="preserve"> [S1, S16]</w:t>
            </w:r>
            <w:r>
              <w:rPr>
                <w:b w:val="false"/>
                <w:bCs w:val="false"/>
                <w:sz w:val="18"/>
                <w:szCs w:val="18"/>
              </w:rPr>
              <w:t xml:space="preserve">. Each feature has a precedent in the literature </w:t>
            </w:r>
            <w:r>
              <w:rPr>
                <w:b/>
                <w:bCs/>
                <w:color w:val="1F4E79"/>
                <w:sz w:val="17"/>
                <w:szCs w:val="17"/>
              </w:rPr>
              <w:t xml:space="preserve"> [S9, S10, S18, S19, S20]</w:t>
            </w:r>
            <w:r>
              <w:rPr>
                <w:b w:val="false"/>
                <w:bCs w:val="false"/>
                <w:sz w:val="18"/>
                <w:szCs w:val="18"/>
              </w:rPr>
              <w:t xml:space="preserv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What formula do you use?</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Fuel quantity × net calorific value × emission factor for CO2, CH4 and N2O, then CO2e using GWP of 28 and 265; electricity uses the grid factor </w:t>
            </w:r>
            <w:r>
              <w:rPr>
                <w:b/>
                <w:bCs/>
                <w:color w:val="1F4E79"/>
                <w:sz w:val="17"/>
                <w:szCs w:val="17"/>
              </w:rPr>
              <w:t xml:space="preserve"> [S1, S16]</w:t>
            </w:r>
            <w:r>
              <w:rPr>
                <w:b w:val="false"/>
                <w:bCs w:val="false"/>
                <w:sz w:val="18"/>
                <w:szCs w:val="18"/>
              </w:rPr>
              <w:t xml:space="preserve">. A worked example is in Section 7.</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How do you handle missing data?</w:t>
            </w:r>
          </w:p>
        </w:tc>
        <w:tc>
          <w:tcPr>
            <w:tcW w:type="dxa" w:w="6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The factory can enter an estimate or select a default; either way the number is flagged as Estimated or Default and receives a lower trust score </w:t>
            </w:r>
            <w:r>
              <w:rPr>
                <w:i/>
                <w:iCs/>
                <w:color w:val="C55A11"/>
                <w:sz w:val="17"/>
                <w:szCs w:val="17"/>
              </w:rPr>
              <w:t xml:space="preserve"> [Design choice]</w:t>
            </w:r>
            <w:r>
              <w:rPr>
                <w:b w:val="false"/>
                <w:bCs w:val="false"/>
                <w:sz w:val="18"/>
                <w:szCs w:val="18"/>
              </w:rPr>
              <w:t xml:space="preserve">. This follows the logic of data-quality indicators and pedigree matrices </w:t>
            </w:r>
            <w:r>
              <w:rPr>
                <w:b/>
                <w:bCs/>
                <w:color w:val="1F4E79"/>
                <w:sz w:val="17"/>
                <w:szCs w:val="17"/>
              </w:rPr>
              <w:t xml:space="preserve"> [S9, S10]</w:t>
            </w:r>
            <w:r>
              <w:rPr>
                <w:b w:val="false"/>
                <w:bCs w:val="false"/>
                <w:sz w:val="18"/>
                <w:szCs w:val="18"/>
              </w:rPr>
              <w:t xml:space="preserv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Is the trust score scientific?</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The concept is established (pedigree matrix, DQI </w:t>
            </w:r>
            <w:r>
              <w:rPr>
                <w:b/>
                <w:bCs/>
                <w:color w:val="1F4E79"/>
                <w:sz w:val="17"/>
                <w:szCs w:val="17"/>
              </w:rPr>
              <w:t xml:space="preserve"> [S9, S10]</w:t>
            </w:r>
            <w:r>
              <w:rPr>
                <w:b w:val="false"/>
                <w:bCs w:val="false"/>
                <w:sz w:val="18"/>
                <w:szCs w:val="18"/>
              </w:rPr>
              <w:t xml:space="preserve">); the numerical scores used here are indicative design choices and are presented that way </w:t>
            </w:r>
            <w:r>
              <w:rPr>
                <w:i/>
                <w:iCs/>
                <w:color w:val="C55A11"/>
                <w:sz w:val="17"/>
                <w:szCs w:val="17"/>
              </w:rPr>
              <w:t xml:space="preserve"> [Design choice]</w:t>
            </w:r>
            <w:r>
              <w:rPr>
                <w:b w:val="false"/>
                <w:bCs w:val="false"/>
                <w:sz w:val="18"/>
                <w:szCs w:val="18"/>
              </w:rPr>
              <w:t xml:space="preserve">. A sensitivity analysis tests their influence.</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Why do two national studies give different totals?</w:t>
            </w:r>
          </w:p>
        </w:tc>
        <w:tc>
          <w:tcPr>
            <w:tcW w:type="dxa" w:w="6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CSTEP uses fuel dispatch data; CEEW estimates demand from economic surveys and ratios. Totals of 110 and 105 MtCO2e are close in size but rest on different assumptions, and CEEW’s brick-kiln estimate is much lower than other studies </w:t>
            </w:r>
            <w:r>
              <w:rPr>
                <w:b/>
                <w:bCs/>
                <w:color w:val="1F4E79"/>
                <w:sz w:val="17"/>
                <w:szCs w:val="17"/>
              </w:rPr>
              <w:t xml:space="preserve"> [S1, S2]</w:t>
            </w:r>
            <w:r>
              <w:rPr>
                <w:b w:val="false"/>
                <w:bCs w:val="false"/>
                <w:sz w:val="18"/>
                <w:szCs w:val="18"/>
              </w:rPr>
              <w:t xml:space="preserve">. This is why uncertainty must be shown.</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What did you find wrong or doubtful in the literature?</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The report’s emission-factor units are mislabelled, and published furnace-oil emissions from 2012–13 are only about 9–16% of what the report’s own tables imply (Table 4.2). These are flagged as items to verify, not as proven errors </w:t>
            </w:r>
            <w:r>
              <w:rPr>
                <w:i/>
                <w:iCs/>
                <w:color w:val="7030A0"/>
                <w:sz w:val="17"/>
                <w:szCs w:val="17"/>
              </w:rPr>
              <w:t xml:space="preserve"> [Derived analysis]</w:t>
            </w:r>
            <w:r>
              <w:rPr>
                <w:b w:val="false"/>
                <w:bCs w:val="false"/>
                <w:sz w:val="18"/>
                <w:szCs w:val="18"/>
              </w:rPr>
              <w:t xml:space="preserve">.</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How does this relate to Industrial Engineering and Management?</w:t>
            </w:r>
          </w:p>
        </w:tc>
        <w:tc>
          <w:tcPr>
            <w:tcW w:type="dxa" w:w="6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It is about efficiency, cost and decision-making under uncertainty: waste identification, hotspot (Pareto) prioritisation, scenario analysis and information systems for managers, applied to energy and emissions </w:t>
            </w:r>
            <w:r>
              <w:rPr>
                <w:b/>
                <w:bCs/>
                <w:color w:val="1F4E79"/>
                <w:sz w:val="17"/>
                <w:szCs w:val="17"/>
              </w:rPr>
              <w:t xml:space="preserve"> [S8, S11, S19]</w:t>
            </w:r>
            <w:r>
              <w:rPr>
                <w:b w:val="false"/>
                <w:bCs w:val="false"/>
                <w:sz w:val="18"/>
                <w:szCs w:val="18"/>
              </w:rPr>
              <w:t xml:space="preserv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What real savings are possible?</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CSTEP’s seven-cluster study found combined energy-efficiency, renewable-energy and advanced-technology measures could save 136,581 tCO2, 385,383 GJ and INR 37 crore, with cluster-specific differences and some measures not financially viable </w:t>
            </w:r>
            <w:r>
              <w:rPr>
                <w:b/>
                <w:bCs/>
                <w:color w:val="1F4E79"/>
                <w:sz w:val="17"/>
                <w:szCs w:val="17"/>
              </w:rPr>
              <w:t xml:space="preserve"> [S5, S7]</w:t>
            </w:r>
            <w:r>
              <w:rPr>
                <w:b w:val="false"/>
                <w:bCs w:val="false"/>
                <w:sz w:val="18"/>
                <w:szCs w:val="18"/>
              </w:rPr>
              <w:t xml:space="preserve">.</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How would you validate the tool?</w:t>
            </w:r>
          </w:p>
        </w:tc>
        <w:tc>
          <w:tcPr>
            <w:tcW w:type="dxa" w:w="62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Reproduce published calculations, compare benchmarks with CEEW ratios, run a case study, test sensitivity and test usability (Section 8.2).</w:t>
            </w:r>
          </w:p>
        </w:tc>
      </w:tr>
    </w:tbl>
    <w:p>
      <w:pPr>
        <w:pStyle w:val="Heading1"/>
        <w:pageBreakBefore/>
      </w:pPr>
      <w:r>
        <w:t xml:space="preserve">11. Source Register</w:t>
      </w:r>
    </w:p>
    <w:p>
      <w:pPr>
        <w:spacing w:after="120" w:line="288"/>
        <w:jc w:val="left"/>
      </w:pPr>
      <w:r>
        <w:t xml:space="preserve">All sources were accessed on 25 October 2026. “Retrieval note” records how completely the text was available, so you know what to re-read before quoting in a formal report. Where authors or years were not visible in the retrieved text, this is stated rather than guessed.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3500"/>
        <w:gridCol w:w="2576"/>
        <w:gridCol w:w="2400"/>
      </w:tblGrid>
      <w:tr>
        <w:trPr>
          <w:cantSplit/>
          <w:tblHeader/>
        </w:trPr>
        <w:tc>
          <w:tcPr>
            <w:tcW w:type="dxa" w:w="5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5"/>
                <w:szCs w:val="15"/>
              </w:rPr>
              <w:t xml:space="preserve">ID</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5"/>
                <w:szCs w:val="15"/>
              </w:rPr>
              <w:t xml:space="preserve">Reference</w:t>
            </w:r>
          </w:p>
        </w:tc>
        <w:tc>
          <w:tcPr>
            <w:tcW w:type="dxa" w:w="25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5"/>
                <w:szCs w:val="15"/>
              </w:rPr>
              <w:t xml:space="preserve">Link</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5"/>
                <w:szCs w:val="15"/>
              </w:rPr>
              <w:t xml:space="preserve">Used for / retrieval note</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S1</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Ananthakumar, M. R. and Roshna N. (2018). Greenhouse Gas Emissions from the Informal Sector in India. CSTEP, Bengaluru, April 2018; supported by Shakti Sustainable Energy Foundation and GHG Platform India. Uploaded by you; a public copy is linked from S3.</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http://www.ghgplatform-india.org/Images/Publications/CSTEP_GHG_emission_Informal%20sector.pdf</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Estimates, tables, methodology, emission factors, limitations. Full document read.</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S2</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Biswas, T., Ganesan, K. and Gupta, V. (2018). Greenhouse Gases Emission Estimates for the Informal Manufacturing Industry of India. CEEW Issue Brief, May 2018.</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https://www.ceew.in/publications/greenhouse-gas-emission-estimates-informal-manufacturing-industry-india ; PDF: https://www.ceew.in/sites/default/files/CEEW_GHG_Emissions_from_the_Informal_Sector_Policy_Brief_15May18.pdf</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Method, results, annexures. Full brief read from the PDF; the web page you gave could not be fetched directly and was located via search.</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S3</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Upadhyay, D. (2022, 20 June). India’s MSMEs must pare emissions and climate finance may be the nudge they need. Down To Earth.</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https://www.downtoearth.org.in/energy/india-s-msmes-must-pare-emissions-and-climate-finance-may-be-the-nudge-they-need-83359</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Full article read. Quoted IFC figures are secondary; the article’s own text on the credit-gap figures is garbled in places, so treat the US$ values as approximate.</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S4</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CSTEP. Decarbonising and Scaling Clean Energy Solutions in India’s MSME Manufacturing Sector (project page).</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https://cstep.in/projects/decarbonising-and-scaling-clean-energy-solutions-in-indias-msme-manufacturing-sector/</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Full page read. No publication date shown on the page text.</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S5</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CSTEP (2024, 28 June). Scope for deep decarbonisation in the MSME manufacturing sector (report page).</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https://cstep.in/publication/scope-for-deep-decarbonisation-in-the-msme-manufacturing-sector/</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Summary page only; the full report PDF was not read.</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S6</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CSTEP (2024, 28 June). Decarbonising the MSME manufacturing sector in India (policy brief page).</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https://cstep.in/publication/decarbonising-the-msme-manufacturing-sector-in-india/</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Summary page only.</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S7</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Energetica India (2024, 6 July). CSTEP Report Highlights Pathways for Decarbonising India’s MSME Manufacturing Sector (news coverage of the CSTEP 2024 report).</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https://www.energetica-india.net/news/cstep-report-highlights-pathways-for-decarbonising-indias-msme-manufacturing-sector</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Full article read. Secondary source; verify technology-specific figures against the CSTEP report.</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S8</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Your uploaded note: GreenEIS in Simple Words (Green Enterprise Information System for Sustainability Analytics).</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Uploaded file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Full document read.</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S9</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GHG Protocol. Quantitative Inventory Uncertainty (guidance document on uncertainty assessment in GHG inventories).</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https://ghgprotocol.org/sites/default/files/Quantitative%20Uncertainty%20Guidance.pdf</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Extract only; read the full guidance for the pedigree-matrix table.</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S10</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Kuo, T. C., Huang, M.-L., Hsu, C. W. et al. (2015). Application of data quality indicator of carbon footprint and water footprint. International Journal of Precision Engineering and Manufacturing-Green Technology, 2, 43–50.</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https://doi.org/10.1007/s40684-015-0006-y</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Abstract and reference list read.</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S11</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Childe, S. et al. (2026). Scope 3 Carbon Emissions Assessment for Manufacturing SMEs. Corporate Social Responsibility and Environmental Management.</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https://pearl.plymouth.ac.uk/secam-research/2206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Abstract only; full author list not shown in retrieved text.</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S12</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Recommended Features for Digital Reporting Systems to Support Emissions Disclosures for Small and Medium-Sized Enterprises. Conference chapter in Software Business in Digital Societies (TU Eindhoven research portal).</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https://research.tue.nl/en/publications/recommended-features-for-digital-reporting-systems-to-support-emi/</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Abstract only; authors and year not shown in retrieved text.</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S13</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AI-Assisted Emission Reporting for Small and Medium-Sized Enterprises (SMEs). University of Technology Sydney repository.</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https://opus.lib.uts.edu.au/rest/bitstreams/9d1aa619-e7a5-4763-bab3-5d7e6756f3c9/retrieve</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Partial extract; authors and year not shown in retrieved text.</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S14</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Carbon accounting in Sri Lankan SMEs: challenges and opportunities. 13th Annual International Research Conference (AiRC-2024), 27 November 2024.</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https://dspace.lib.seu.ac.lk/items/c976c9ac-a82c-4d80-8e93-70a4ea059157</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Abstract only.</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S15</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T20 Brazil policy brief on automated carbon accounting for SMEs (SOAS repository; exact title not shown in retrieved text).</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https://eprints.soas.ac.uk/43486/1/T20Brazil.pdf</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Fragmentary extract; check the original before citing the contract-eligibility point.</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S16</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Central Electricity Authority, Ministry of Power. CO2 Baseline Database for the Indian Power Sector (user guides, e.g. version 17); and SolarQuarter (2025, 6 January) report on the 2023–24 values.</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https://cea.nic.in/wp-content/uploads/baseline/2025/07/User_Guide__ver_17_2021.pdf ; https://solarquarter.com/2025/01/06/co2-baseline-database-highlights-indias-progress-in-renewable-energy-and-emission-reduction-cea/</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Definitions from CEA user guide; the 0.727 and 0.757 tCO2/MWh values come from a trade-press report and must be checked against the current CEA release.</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S17</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CEEW (2017). Greenhouse Gases Emission Estimates from the Manufacturing Industries in India: National Level Estimates, 2005 to 2013.</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https://ceew.in/publications/greenhouse-gases-emission-estimates-manufacturing-industries-india-national-level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Summary page read.</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S18</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Zocca, R. O., Lima, T. M. et al. (2018). Computational tool to foster systematic thinking and sustainable environmental conscience in the selection of energy sources systems in agrifood companies.</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https://ubibliorum.ubi.pt/entities/publication/94099ded-92e1-4a59-b68b-cfa9f6b7ef06</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Abstract only; full author list not shown.</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S19</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NIST (2012). NIST Interagency Report 7850, System Integration Division: decision guidance database system for sustainable manufacturing (refers to the Decision Guidance Management System of Brodsky and Wang, 2008).</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https://nvlpubs.nist.gov/nistpubs/ir/2012/NIST.IR.7850.pdf</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Extract only; title wording not fully visible, check the original.</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S20</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Helo, P. and Mayanti, B. (2024). Dynamics of energy costs and emissions in operations: analysing energy operational adjustment. Conference paper, Computers and Industrial Engineering.</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https://osuva.uwasa.fi/items/f697ba76-838f-44da-9713-444d4184fea7/full</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Abstract only.</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S21</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Context-Based Decision Support System for Energy Efficiency in Industrial Plants. Sustainability (MDPI), 14(7), 3885 (2022).</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https://ideas.repec.org/a/gam/jsusta/v14y2022i7p3885-d779541.html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5"/>
                <w:szCs w:val="15"/>
              </w:rPr>
              <w:t xml:space="preserve">Abstract only; authors not shown in retrieved text.</w:t>
            </w:r>
          </w:p>
        </w:tc>
      </w:tr>
      <w:tr>
        <w:trPr>
          <w:cantSplit/>
        </w:trPr>
        <w:tc>
          <w:tcPr>
            <w:tcW w:type="dxa" w:w="5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S22</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Vendor and trade sources on SME carbon tools: ESG Post (EcoVadis Carbon Estimator launch); Persefoni blog on SME carbon accounting.</w:t>
            </w:r>
          </w:p>
        </w:tc>
        <w:tc>
          <w:tcPr>
            <w:tcW w:type="dxa" w:w="25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https://esgpost.com/ecovadis-carbon-estimator-helps-decarbonisation-efforts-across-enterprises/ ; https://persefoni.com/blog/carbon-accounting-smes-misconceptions</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5"/>
                <w:szCs w:val="15"/>
              </w:rPr>
              <w:t xml:space="preserve">Marketing and trade material; illustrates the market only.</w:t>
            </w:r>
          </w:p>
        </w:tc>
      </w:tr>
    </w:tbl>
    <w:p>
      <w:pPr>
        <w:spacing w:after="160" w:before="60"/>
      </w:pPr>
      <w:r>
        <w:rPr>
          <w:i/>
          <w:iCs/>
          <w:color w:val="404040"/>
          <w:sz w:val="17"/>
          <w:szCs w:val="17"/>
        </w:rPr>
        <w:t xml:space="preserve">Not retrieved in this session but referred to via S1 and S2: IPCC guidelines and assessment reports, national inventories (BUR), ASI and NSSO survey rounds, Coal Directory, and Ministry of Petroleum and Natural Gas statistics. Cite them through S1 and S2 unless you consult the originals.</w:t>
      </w:r>
    </w:p>
    <w:p>
      <w:pPr>
        <w:pStyle w:val="Heading1"/>
        <w:pageBreakBefore/>
      </w:pPr>
      <w:r>
        <w:t xml:space="preserve">Appendix A: CSTEP (2018) Data Tables</w:t>
      </w:r>
    </w:p>
    <w:p>
      <w:pPr>
        <w:spacing w:after="120" w:line="288"/>
        <w:jc w:val="left"/>
      </w:pPr>
      <w:r>
        <w:t xml:space="preserve">All tables below are reproduced from </w:t>
      </w:r>
      <w:r>
        <w:rPr>
          <w:b/>
          <w:bCs/>
          <w:color w:val="1F4E79"/>
          <w:sz w:val="17"/>
          <w:szCs w:val="17"/>
        </w:rPr>
        <w:t xml:space="preserve"> [S1]</w:t>
      </w:r>
      <w:r>
        <w:t xml:space="preserve"> without alteration, except where labelled as derived. “n/a” means data not available in the source.</w:t>
      </w:r>
    </w:p>
    <w:p>
      <w:pPr>
        <w:pStyle w:val="Heading2"/>
        <w:keepNext/>
      </w:pPr>
      <w:r>
        <w:t xml:space="preserve">Table A.1: GHG emissions from informal sectors due to solid fuels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0"/>
        <w:gridCol w:w="900"/>
        <w:gridCol w:w="960"/>
        <w:gridCol w:w="900"/>
        <w:gridCol w:w="1060"/>
        <w:gridCol w:w="960"/>
        <w:gridCol w:w="1060"/>
        <w:gridCol w:w="1100"/>
        <w:gridCol w:w="1106"/>
      </w:tblGrid>
      <w:tr>
        <w:trPr>
          <w:cantSplit/>
          <w:tblHeader/>
        </w:trPr>
        <w:tc>
          <w:tcPr>
            <w:tcW w:type="dxa" w:w="98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6"/>
                <w:szCs w:val="16"/>
              </w:rPr>
              <w:t xml:space="preserve">Year</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Coal (Mt)</w:t>
            </w:r>
          </w:p>
        </w:tc>
        <w:tc>
          <w:tcPr>
            <w:tcW w:type="dxa" w:w="9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Lignite (Mt)</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Coking (Mt)</w:t>
            </w:r>
          </w:p>
        </w:tc>
        <w:tc>
          <w:tcPr>
            <w:tcW w:type="dxa" w:w="10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Briquetting (Mt)</w:t>
            </w:r>
          </w:p>
        </w:tc>
        <w:tc>
          <w:tcPr>
            <w:tcW w:type="dxa" w:w="9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Coal (MtCO2e)</w:t>
            </w:r>
          </w:p>
        </w:tc>
        <w:tc>
          <w:tcPr>
            <w:tcW w:type="dxa" w:w="10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Lignite (MtCO2e)</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Coking (x10^-2)</w:t>
            </w:r>
          </w:p>
        </w:tc>
        <w:tc>
          <w:tcPr>
            <w:tcW w:type="dxa" w:w="110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Total (MtCO2e)</w:t>
            </w:r>
          </w:p>
        </w:tc>
      </w:tr>
      <w:tr>
        <w:trPr>
          <w:cantSplit/>
        </w:trPr>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2008–09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37.81</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2.10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0.02</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14.78</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60.38</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2.78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1.38</w:t>
            </w:r>
          </w:p>
        </w:tc>
        <w:tc>
          <w:tcPr>
            <w:tcW w:type="dxa" w:w="11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63.18</w:t>
            </w:r>
          </w:p>
        </w:tc>
      </w:tr>
      <w:tr>
        <w:trPr>
          <w:cantSplit/>
        </w:trPr>
        <w:tc>
          <w:tcPr>
            <w:tcW w:type="dxa" w:w="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2009–10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43.38</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2.54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0.02</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16.95</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69.27</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3.35</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1.58</w:t>
            </w:r>
          </w:p>
        </w:tc>
        <w:tc>
          <w:tcPr>
            <w:tcW w:type="dxa" w:w="110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72.64</w:t>
            </w:r>
          </w:p>
        </w:tc>
      </w:tr>
      <w:tr>
        <w:trPr>
          <w:cantSplit/>
        </w:trPr>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2010–11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45.88</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2.56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0.02</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17.93</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73.26</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3.39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1.67</w:t>
            </w:r>
          </w:p>
        </w:tc>
        <w:tc>
          <w:tcPr>
            <w:tcW w:type="dxa" w:w="11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76.67</w:t>
            </w:r>
          </w:p>
        </w:tc>
      </w:tr>
      <w:tr>
        <w:trPr>
          <w:cantSplit/>
        </w:trPr>
        <w:tc>
          <w:tcPr>
            <w:tcW w:type="dxa" w:w="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2011–12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49.11</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3.64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0.02</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19.19</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78.42</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4.81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1.79</w:t>
            </w:r>
          </w:p>
        </w:tc>
        <w:tc>
          <w:tcPr>
            <w:tcW w:type="dxa" w:w="110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83.25</w:t>
            </w:r>
          </w:p>
        </w:tc>
      </w:tr>
      <w:tr>
        <w:trPr>
          <w:cantSplit/>
        </w:trPr>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2012–13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46.28</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0.02</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18.08</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73.90</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4.31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1.68</w:t>
            </w:r>
          </w:p>
        </w:tc>
        <w:tc>
          <w:tcPr>
            <w:tcW w:type="dxa" w:w="11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78.23</w:t>
            </w:r>
          </w:p>
        </w:tc>
      </w:tr>
      <w:tr>
        <w:trPr>
          <w:cantSplit/>
        </w:trPr>
        <w:tc>
          <w:tcPr>
            <w:tcW w:type="dxa" w:w="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2013–14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50.95</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3.85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0.02</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19.91</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81.36</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5.10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1.85</w:t>
            </w:r>
          </w:p>
        </w:tc>
        <w:tc>
          <w:tcPr>
            <w:tcW w:type="dxa" w:w="110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86.48</w:t>
            </w:r>
          </w:p>
        </w:tc>
      </w:tr>
      <w:tr>
        <w:trPr>
          <w:cantSplit/>
        </w:trPr>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2014–15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42.56</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2.34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0.02</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16.63</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67.97</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3.09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1.55</w:t>
            </w:r>
          </w:p>
        </w:tc>
        <w:tc>
          <w:tcPr>
            <w:tcW w:type="dxa" w:w="11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71.08</w:t>
            </w:r>
          </w:p>
        </w:tc>
      </w:tr>
      <w:tr>
        <w:trPr>
          <w:cantSplit/>
        </w:trPr>
        <w:tc>
          <w:tcPr>
            <w:tcW w:type="dxa" w:w="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2015–16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58.14</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1.03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0.03</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22.72</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92.85</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2.12</w:t>
            </w:r>
          </w:p>
        </w:tc>
        <w:tc>
          <w:tcPr>
            <w:tcW w:type="dxa" w:w="110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94.23</w:t>
            </w:r>
          </w:p>
        </w:tc>
      </w:tr>
    </w:tbl>
    <w:p>
      <w:pPr>
        <w:spacing w:after="160" w:before="60"/>
      </w:pPr>
      <w:r>
        <w:rPr>
          <w:i/>
          <w:iCs/>
          <w:color w:val="404040"/>
          <w:sz w:val="17"/>
          <w:szCs w:val="17"/>
        </w:rPr>
        <w:t xml:space="preserve">Briquetting emissions are zero by assumption in all years </w:t>
      </w:r>
      <w:r>
        <w:rPr>
          <w:b/>
          <w:bCs/>
          <w:color w:val="1F4E79"/>
          <w:sz w:val="17"/>
          <w:szCs w:val="17"/>
        </w:rPr>
        <w:t xml:space="preserve"> [S1]</w:t>
      </w:r>
      <w:r>
        <w:rPr>
          <w:i/>
          <w:iCs/>
          <w:color w:val="404040"/>
          <w:sz w:val="17"/>
          <w:szCs w:val="17"/>
        </w:rPr>
        <w:t xml:space="preserve">.</w:t>
      </w:r>
    </w:p>
    <w:p>
      <w:pPr>
        <w:pStyle w:val="Heading2"/>
        <w:keepNext/>
      </w:pPr>
      <w:r>
        <w:t xml:space="preserve">Table A.2: Petroleum product and natural gas consumption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0"/>
        <w:gridCol w:w="900"/>
        <w:gridCol w:w="1000"/>
        <w:gridCol w:w="1000"/>
        <w:gridCol w:w="960"/>
        <w:gridCol w:w="900"/>
        <w:gridCol w:w="900"/>
        <w:gridCol w:w="1186"/>
        <w:gridCol w:w="1200"/>
      </w:tblGrid>
      <w:tr>
        <w:trPr>
          <w:cantSplit/>
          <w:tblHeader/>
        </w:trPr>
        <w:tc>
          <w:tcPr>
            <w:tcW w:type="dxa" w:w="98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6"/>
                <w:szCs w:val="16"/>
              </w:rPr>
              <w:t xml:space="preserve">Year</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LPG (kt)</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Naphtha (kt)</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Kerosene (kt)</w:t>
            </w:r>
          </w:p>
        </w:tc>
        <w:tc>
          <w:tcPr>
            <w:tcW w:type="dxa" w:w="9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HSDO (kt)</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LDO (kt)</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FO (kt)</w:t>
            </w:r>
          </w:p>
        </w:tc>
        <w:tc>
          <w:tcPr>
            <w:tcW w:type="dxa" w:w="118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LSHS/HHS (kt)</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Natural gas (MMSCM)</w:t>
            </w:r>
          </w:p>
        </w:tc>
      </w:tr>
      <w:tr>
        <w:trPr>
          <w:cantSplit/>
        </w:trPr>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2008–09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693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128</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1,469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179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3,848</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526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3,420</w:t>
            </w:r>
          </w:p>
        </w:tc>
      </w:tr>
      <w:tr>
        <w:trPr>
          <w:cantSplit/>
        </w:trPr>
        <w:tc>
          <w:tcPr>
            <w:tcW w:type="dxa" w:w="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2009–10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559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134</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1,603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150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3,653</w:t>
            </w:r>
          </w:p>
        </w:tc>
        <w:tc>
          <w:tcPr>
            <w:tcW w:type="dxa" w:w="11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320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7,272</w:t>
            </w:r>
          </w:p>
        </w:tc>
      </w:tr>
      <w:tr>
        <w:trPr>
          <w:cantSplit/>
        </w:trPr>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2010–11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154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139</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2,170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179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3,516</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482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7,546</w:t>
            </w:r>
          </w:p>
        </w:tc>
      </w:tr>
      <w:tr>
        <w:trPr>
          <w:cantSplit/>
        </w:trPr>
        <w:tc>
          <w:tcPr>
            <w:tcW w:type="dxa" w:w="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2011–12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163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123</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2,262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178</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2,916</w:t>
            </w:r>
          </w:p>
        </w:tc>
        <w:tc>
          <w:tcPr>
            <w:tcW w:type="dxa" w:w="11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291</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9,064</w:t>
            </w:r>
          </w:p>
        </w:tc>
      </w:tr>
      <w:tr>
        <w:trPr>
          <w:cantSplit/>
        </w:trPr>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2012–13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203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115</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2,319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174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2,356</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149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7,976</w:t>
            </w:r>
          </w:p>
        </w:tc>
      </w:tr>
      <w:tr>
        <w:trPr>
          <w:cantSplit/>
        </w:trPr>
        <w:tc>
          <w:tcPr>
            <w:tcW w:type="dxa" w:w="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2013–14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240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48</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1,425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181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1,984</w:t>
            </w:r>
          </w:p>
        </w:tc>
        <w:tc>
          <w:tcPr>
            <w:tcW w:type="dxa" w:w="11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7,479</w:t>
            </w:r>
          </w:p>
        </w:tc>
      </w:tr>
      <w:tr>
        <w:trPr>
          <w:cantSplit/>
        </w:trPr>
        <w:tc>
          <w:tcPr>
            <w:tcW w:type="dxa" w:w="9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2014–15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207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117</w:t>
            </w:r>
          </w:p>
        </w:tc>
        <w:tc>
          <w:tcPr>
            <w:tcW w:type="dxa" w:w="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1,748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164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2,175</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5,934</w:t>
            </w:r>
          </w:p>
        </w:tc>
      </w:tr>
      <w:tr>
        <w:trPr>
          <w:cantSplit/>
        </w:trPr>
        <w:tc>
          <w:tcPr>
            <w:tcW w:type="dxa" w:w="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2015–16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113</w:t>
            </w:r>
          </w:p>
        </w:tc>
        <w:tc>
          <w:tcPr>
            <w:tcW w:type="dxa" w:w="9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1,922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184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2,564</w:t>
            </w:r>
          </w:p>
        </w:tc>
        <w:tc>
          <w:tcPr>
            <w:tcW w:type="dxa" w:w="11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4,110</w:t>
            </w:r>
          </w:p>
        </w:tc>
      </w:tr>
    </w:tbl>
    <w:p>
      <w:pPr>
        <w:pStyle w:val="Heading2"/>
        <w:keepNext/>
      </w:pPr>
      <w:r>
        <w:t xml:space="preserve">Table A.3: GHG emissions from petroleum products and natural gas, MtCO2e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000"/>
        <w:gridCol w:w="1000"/>
        <w:gridCol w:w="900"/>
        <w:gridCol w:w="900"/>
        <w:gridCol w:w="900"/>
        <w:gridCol w:w="1126"/>
        <w:gridCol w:w="1200"/>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6"/>
                <w:szCs w:val="16"/>
              </w:rPr>
              <w:t xml:space="preserve">Year</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LPG</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Naphtha</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Kerosene</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HSDO</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LDO</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FO</w:t>
            </w:r>
          </w:p>
        </w:tc>
        <w:tc>
          <w:tcPr>
            <w:tcW w:type="dxa" w:w="11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LSHS/HHS</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Natural gas</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2008–09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0.19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3.63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0.41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4.70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0.58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11.95</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1.55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6.60</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2009–10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0.19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2.02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0.42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5.13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0.48</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11.35</w:t>
            </w:r>
          </w:p>
        </w:tc>
        <w:tc>
          <w:tcPr>
            <w:tcW w:type="dxa" w:w="1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0.94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14.03</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2010–11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0.22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1.33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0.44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6.94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0.57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10.92</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1.42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14.56</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2011–12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0.21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0.59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0.39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7.23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0.57</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9.06</w:t>
            </w:r>
          </w:p>
        </w:tc>
        <w:tc>
          <w:tcPr>
            <w:tcW w:type="dxa" w:w="1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0.86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17.48</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2012–13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0.13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1.08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0.37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7.42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0.56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1.09</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0.44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15.38</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2013–14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0.14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0.68</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0.15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4.56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0.58</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0.96</w:t>
            </w:r>
          </w:p>
        </w:tc>
        <w:tc>
          <w:tcPr>
            <w:tcW w:type="dxa" w:w="1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0.13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14.41</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2014–15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0.16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0.63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0.37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5.59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0.53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0.61</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0.14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11.44</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2015–16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0.22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0.16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0.36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6.14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0.59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0.84</w:t>
            </w:r>
          </w:p>
        </w:tc>
        <w:tc>
          <w:tcPr>
            <w:tcW w:type="dxa" w:w="11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7.90</w:t>
            </w:r>
          </w:p>
        </w:tc>
      </w:tr>
    </w:tbl>
    <w:p>
      <w:pPr>
        <w:pStyle w:val="Heading2"/>
        <w:keepNext/>
      </w:pPr>
      <w:r>
        <w:t xml:space="preserve">Table A.4: Industry-wise GHG emissions due to coal consumption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513"/>
        <w:gridCol w:w="1513"/>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6"/>
                <w:szCs w:val="16"/>
              </w:rPr>
              <w:t xml:space="preserve">Industry</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Coal 2014–15 (Mt)</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Coal 2015–16 (Mt)</w:t>
            </w:r>
          </w:p>
        </w:tc>
        <w:tc>
          <w:tcPr>
            <w:tcW w:type="dxa" w:w="1513"/>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GHG 2014–15 (MtCO2e)</w:t>
            </w:r>
          </w:p>
        </w:tc>
        <w:tc>
          <w:tcPr>
            <w:tcW w:type="dxa" w:w="1513"/>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GHG 2015–16 (MtCO2e)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Agro processing</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0.025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0.031</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0.047</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0.058</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Animal feed/products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0.026</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0.013</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0.049</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0.025</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Brass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0.004</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0.007</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Brick</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0.091</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0.037</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0.172</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0.070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Cement</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0.002</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0.005</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Ceramic</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3.168</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0.052</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5.985</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0.098</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Chemical/Fertilisers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1.827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0.048</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3.451</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0.090</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Construction products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0.068</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0.018</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0.128</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0.033</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Cookware/Domestic appliances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0.003</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0.006</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Food processing</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4.221</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3.101</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7.974</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5.858</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Textile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6.400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12.090</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0.078</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Limestone powder/Lime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0.016</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0.030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Machine manufacture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0.189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0.032</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0.357</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0.061</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Milk products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0.341</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0.003</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0.644</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0.006</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Mineral processing</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0.015</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0.028</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Mining/Ore processing</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0.183</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0.010</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0.019</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Palm products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0.008</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0.016</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Paper/Crafts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1.870</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0.011</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3.533</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0.021</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Pharmaceutical</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0.822</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0.008</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1.553</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0.016</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Pottery</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2.352</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4.442</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Printing</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0.004</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0.006</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0.008</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Refractories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0.016</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0.030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Rubber</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0.010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0.007</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0.019</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0.013</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Welding equipment</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0.004</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0.008</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Plastic products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0.001</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0.002</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Other industries/Individual buyers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17.045</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32.200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Coal briquettes / Coke briquettes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22.722</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0.000</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0.000</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Coal processing</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0.035</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0.000</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0.000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Coke oven manufacture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0.008</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Coking</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0.028</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0.024</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Foundries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0.006</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n/a</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Soaps/Detergents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4.997</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9.440</w:t>
            </w:r>
          </w:p>
        </w:tc>
        <w:tc>
          <w:tcPr>
            <w:tcW w:type="dxa" w:w="151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n/a</w:t>
            </w:r>
          </w:p>
        </w:tc>
      </w:tr>
      <w:tr>
        <w:trPr>
          <w:cantSplit/>
        </w:trPr>
        <w:tc>
          <w:tcPr>
            <w:tcW w:type="dxa" w:w="32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left"/>
            </w:pPr>
            <w:r>
              <w:rPr>
                <w:b/>
                <w:bCs/>
                <w:sz w:val="16"/>
                <w:szCs w:val="16"/>
              </w:rPr>
              <w:t xml:space="preserve">Total</w:t>
            </w:r>
          </w:p>
        </w:tc>
        <w:tc>
          <w:tcPr>
            <w:tcW w:type="dxa" w:w="14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6"/>
                <w:szCs w:val="16"/>
              </w:rPr>
              <w:t xml:space="preserve">24.25</w:t>
            </w:r>
          </w:p>
        </w:tc>
        <w:tc>
          <w:tcPr>
            <w:tcW w:type="dxa" w:w="14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6"/>
                <w:szCs w:val="16"/>
              </w:rPr>
              <w:t xml:space="preserve">45.67</w:t>
            </w:r>
          </w:p>
        </w:tc>
        <w:tc>
          <w:tcPr>
            <w:tcW w:type="dxa" w:w="1513"/>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6"/>
                <w:szCs w:val="16"/>
              </w:rPr>
              <w:t xml:space="preserve">45.46</w:t>
            </w:r>
          </w:p>
        </w:tc>
        <w:tc>
          <w:tcPr>
            <w:tcW w:type="dxa" w:w="1513"/>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6"/>
                <w:szCs w:val="16"/>
              </w:rPr>
              <w:t xml:space="preserve">43.25</w:t>
            </w:r>
          </w:p>
        </w:tc>
      </w:tr>
    </w:tbl>
    <w:p>
      <w:pPr>
        <w:spacing w:after="160" w:before="60"/>
      </w:pPr>
      <w:r>
        <w:rPr>
          <w:i/>
          <w:iCs/>
          <w:color w:val="404040"/>
          <w:sz w:val="17"/>
          <w:szCs w:val="17"/>
        </w:rPr>
        <w:t xml:space="preserve">Annexure of </w:t>
      </w:r>
      <w:r>
        <w:rPr>
          <w:b/>
          <w:bCs/>
          <w:color w:val="1F4E79"/>
          <w:sz w:val="17"/>
          <w:szCs w:val="17"/>
        </w:rPr>
        <w:t xml:space="preserve"> [S1]</w:t>
      </w:r>
      <w:r>
        <w:rPr>
          <w:i/>
          <w:iCs/>
          <w:color w:val="404040"/>
          <w:sz w:val="17"/>
          <w:szCs w:val="17"/>
        </w:rPr>
        <w:t xml:space="preserve">: 2015–16 coal by group includes food processing 3.1008 Mt (of which gur / jaggery 3.0440 Mt, oil milling 0.0196 Mt, milk products 0.0029 Mt, other 0.0343 Mt); pottery 2.35164 Mt; briquetting 22.722 Mt (coal 9.048 Mt, coke 13.673 Mt); other industries / individual buyers 17.045 Mt; total 45.67 Mt.</w:t>
      </w:r>
    </w:p>
    <w:p>
      <w:pPr>
        <w:pStyle w:val="Heading2"/>
        <w:keepNext/>
      </w:pPr>
      <w:r>
        <w:t xml:space="preserve">Table A.5: Default emission-factor library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300"/>
        <w:gridCol w:w="1400"/>
        <w:gridCol w:w="1426"/>
      </w:tblGrid>
      <w:tr>
        <w:trPr>
          <w:cantSplit/>
          <w:tblHeader/>
        </w:trPr>
        <w:tc>
          <w:tcPr>
            <w:tcW w:type="dxa" w:w="3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Fuel / process</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CO2 factor</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CH4 factor</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N2O factor</w:t>
            </w:r>
          </w:p>
        </w:tc>
        <w:tc>
          <w:tcPr>
            <w:tcW w:type="dxa" w:w="14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7"/>
                <w:szCs w:val="17"/>
              </w:rPr>
              <w:t xml:space="preserve">NCV (TJ/kt)</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Coal combustion (sub-bituminous)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95,810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1.5</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19.6</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Lignite combustion</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92,600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1.5</w:t>
            </w: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14.2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Coking process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44,410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0.45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9.48E-08</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Coal / coke briquetting</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w:t>
            </w: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LPG</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63,100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0.1</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47.3</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Naphtha</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73,300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3</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0.6</w:t>
            </w: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44.5</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Kerosene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71,900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10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0.6</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43.8</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High speed diesel oil (HSDO)</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74,100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3</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0.6</w:t>
            </w: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43.3</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Light diesel oil (LDO)</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74,100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0.6</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43.3</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Furnace oil (FO)</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77,400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3</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0.6</w:t>
            </w: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40.2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LSHS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73,300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0.6</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7"/>
                <w:szCs w:val="17"/>
              </w:rPr>
              <w:t xml:space="preserve">40.1</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Natural gas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56,100*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1</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0.6</w:t>
            </w:r>
          </w:p>
        </w:tc>
        <w:tc>
          <w:tcPr>
            <w:tcW w:type="dxa" w:w="14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7"/>
                <w:szCs w:val="17"/>
              </w:rPr>
              <w:t xml:space="preserve">48.6**</w:t>
            </w:r>
          </w:p>
        </w:tc>
      </w:tr>
    </w:tbl>
    <w:p>
      <w:pPr>
        <w:spacing w:after="160" w:before="60"/>
      </w:pPr>
      <w:r>
        <w:rPr>
          <w:i/>
          <w:iCs/>
          <w:color w:val="404040"/>
          <w:sz w:val="17"/>
          <w:szCs w:val="17"/>
        </w:rPr>
        <w:t xml:space="preserve">Factors are as printed in </w:t>
      </w:r>
      <w:r>
        <w:rPr>
          <w:b/>
          <w:bCs/>
          <w:color w:val="1F4E79"/>
          <w:sz w:val="17"/>
          <w:szCs w:val="17"/>
        </w:rPr>
        <w:t xml:space="preserve"> [S1]</w:t>
      </w:r>
      <w:r>
        <w:rPr>
          <w:i/>
          <w:iCs/>
          <w:color w:val="404040"/>
          <w:sz w:val="17"/>
          <w:szCs w:val="17"/>
        </w:rPr>
        <w:t xml:space="preserve">, Tables 2 and 3, NCVs from its Table 4. The report labels factors “kt/TJ”, but the magnitudes correspond to kg/TJ (for example 95,810 kg CO2 per TJ = 95.81 t/TJ) </w:t>
      </w:r>
      <w:r>
        <w:rPr>
          <w:i/>
          <w:iCs/>
          <w:color w:val="7030A0"/>
          <w:sz w:val="17"/>
          <w:szCs w:val="17"/>
        </w:rPr>
        <w:t xml:space="preserve"> [Derived analysis]</w:t>
      </w:r>
      <w:r>
        <w:rPr>
          <w:i/>
          <w:iCs/>
          <w:color w:val="404040"/>
          <w:sz w:val="17"/>
          <w:szCs w:val="17"/>
        </w:rPr>
        <w:t xml:space="preserve">. *The report prints natural-gas CO2 as “56.100”; read as 56,100 kg/TJ </w:t>
      </w:r>
      <w:r>
        <w:rPr>
          <w:i/>
          <w:iCs/>
          <w:color w:val="7030A0"/>
          <w:sz w:val="17"/>
          <w:szCs w:val="17"/>
        </w:rPr>
        <w:t xml:space="preserve"> [Derived analysis]</w:t>
      </w:r>
      <w:r>
        <w:rPr>
          <w:i/>
          <w:iCs/>
          <w:color w:val="404040"/>
          <w:sz w:val="17"/>
          <w:szCs w:val="17"/>
        </w:rPr>
        <w:t xml:space="preserve">. **Natural-gas NCV is given per kt in the report, while volumetric gas calculations need TJ per MMSCM (Equation 5 of the report); source a volumetric NCV before implementing gas </w:t>
      </w:r>
      <w:r>
        <w:rPr>
          <w:b/>
          <w:bCs/>
          <w:color w:val="1F4E79"/>
          <w:sz w:val="17"/>
          <w:szCs w:val="17"/>
        </w:rPr>
        <w:t xml:space="preserve"> [S1]</w:t>
      </w:r>
      <w:r>
        <w:rPr>
          <w:i/>
          <w:iCs/>
          <w:color w:val="404040"/>
          <w:sz w:val="17"/>
          <w:szCs w:val="17"/>
        </w:rPr>
        <w:t xml:space="preserve"> </w:t>
      </w:r>
      <w:r>
        <w:rPr>
          <w:i/>
          <w:iCs/>
          <w:color w:val="7030A0"/>
          <w:sz w:val="17"/>
          <w:szCs w:val="17"/>
        </w:rPr>
        <w:t xml:space="preserve"> [Derived analysis]</w:t>
      </w:r>
      <w:r>
        <w:rPr>
          <w:i/>
          <w:iCs/>
          <w:color w:val="404040"/>
          <w:sz w:val="17"/>
          <w:szCs w:val="17"/>
        </w:rPr>
        <w:t xml:space="preserve">. GWP (100-year): CH4 = 28, N2O = 265 </w:t>
      </w:r>
      <w:r>
        <w:rPr>
          <w:b/>
          <w:bCs/>
          <w:color w:val="1F4E79"/>
          <w:sz w:val="17"/>
          <w:szCs w:val="17"/>
        </w:rPr>
        <w:t xml:space="preserve"> [S1]</w:t>
      </w:r>
      <w:r>
        <w:rPr>
          <w:i/>
          <w:iCs/>
          <w:color w:val="404040"/>
          <w:sz w:val="17"/>
          <w:szCs w:val="17"/>
        </w:rPr>
        <w:t xml:space="preserve">.</w:t>
      </w:r>
    </w:p>
    <w:p>
      <w:pPr>
        <w:pStyle w:val="Heading2"/>
        <w:keepNext/>
      </w:pPr>
      <w:r>
        <w:t xml:space="preserve">Table A.6: Comparison with other inventories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26"/>
      </w:tblGrid>
      <w:tr>
        <w:trPr>
          <w:cantSplit/>
          <w:tblHeader/>
        </w:trPr>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Year</w:t>
            </w:r>
          </w:p>
        </w:tc>
        <w:tc>
          <w:tcPr>
            <w:tcW w:type="dxa" w:w="2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CSTEP estimate (MtCO2e)</w:t>
            </w:r>
          </w:p>
        </w:tc>
        <w:tc>
          <w:tcPr>
            <w:tcW w:type="dxa" w:w="2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Inventory value (MtCO2e)</w:t>
            </w:r>
          </w:p>
        </w:tc>
        <w:tc>
          <w:tcPr>
            <w:tcW w:type="dxa" w:w="2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Inventory</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2010</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113</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130</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8"/>
                <w:szCs w:val="18"/>
              </w:rPr>
              <w:t xml:space="preserve">India BUR (MoEFCC, 2015)</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2007</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93 (2008–09 estimation)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88</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8"/>
                <w:szCs w:val="18"/>
              </w:rPr>
              <w:t xml:space="preserve">INCCA (2010)</w:t>
            </w:r>
          </w:p>
        </w:tc>
      </w:tr>
    </w:tbl>
    <w:p>
      <w:pPr>
        <w:pStyle w:val="Heading1"/>
        <w:pageBreakBefore/>
      </w:pPr>
      <w:r>
        <w:t xml:space="preserve">Appendix B: CEEW (2018) Data Tables</w:t>
      </w:r>
    </w:p>
    <w:p>
      <w:pPr>
        <w:spacing w:after="120" w:line="288"/>
        <w:jc w:val="left"/>
      </w:pPr>
      <w:r>
        <w:t xml:space="preserve">Tables reproduced from </w:t>
      </w:r>
      <w:r>
        <w:rPr>
          <w:b/>
          <w:bCs/>
          <w:color w:val="1F4E79"/>
          <w:sz w:val="17"/>
          <w:szCs w:val="17"/>
        </w:rPr>
        <w:t xml:space="preserve"> [S2]</w:t>
      </w:r>
      <w:r>
        <w:t xml:space="preserve">. Industry names in Tables B.3 and B.4 are the standard NIC 2008 two-digit division names, added here for readability; the brief gives the codes only </w:t>
      </w:r>
      <w:r>
        <w:rPr>
          <w:i/>
          <w:iCs/>
          <w:color w:val="7030A0"/>
          <w:sz w:val="17"/>
          <w:szCs w:val="17"/>
        </w:rPr>
        <w:t xml:space="preserve"> [Derived analysis]</w:t>
      </w:r>
      <w:r>
        <w:t xml:space="preserve">.</w:t>
      </w:r>
    </w:p>
    <w:p>
      <w:pPr>
        <w:pStyle w:val="Heading2"/>
        <w:keepNext/>
      </w:pPr>
      <w:r>
        <w:t xml:space="preserve">Table B.1: Size of the unorganised sector relative to the organised sector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326"/>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Category</w:t>
            </w:r>
          </w:p>
        </w:tc>
        <w:tc>
          <w:tcPr>
            <w:tcW w:type="dxa" w:w="2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ASI (2015–16) – organised</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NSSO (2015–16) – unorganised</w:t>
            </w:r>
          </w:p>
        </w:tc>
        <w:tc>
          <w:tcPr>
            <w:tcW w:type="dxa" w:w="23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Manufacturing (economy-wide)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GVA</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INR 12,167 billion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INR 2,270 billion</w:t>
            </w:r>
          </w:p>
        </w:tc>
        <w:tc>
          <w:tcPr>
            <w:tcW w:type="dxa" w:w="2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INR 20,648 billion</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Employment</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13.5 million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33 million</w:t>
            </w:r>
          </w:p>
        </w:tc>
        <w:tc>
          <w:tcPr>
            <w:tcW w:type="dxa" w:w="23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46.5 million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Number of enterprises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0.14 million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17 million</w:t>
            </w:r>
          </w:p>
        </w:tc>
        <w:tc>
          <w:tcPr>
            <w:tcW w:type="dxa" w:w="2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17.1 million</w:t>
            </w:r>
          </w:p>
        </w:tc>
      </w:tr>
    </w:tbl>
    <w:p>
      <w:pPr>
        <w:spacing w:after="160" w:before="60"/>
      </w:pPr>
      <w:r>
        <w:rPr>
          <w:i/>
          <w:iCs/>
          <w:color w:val="404040"/>
          <w:sz w:val="17"/>
          <w:szCs w:val="17"/>
        </w:rPr>
        <w:t xml:space="preserve">Notes in </w:t>
      </w:r>
      <w:r>
        <w:rPr>
          <w:b/>
          <w:bCs/>
          <w:color w:val="1F4E79"/>
          <w:sz w:val="17"/>
          <w:szCs w:val="17"/>
        </w:rPr>
        <w:t xml:space="preserve"> [S2]</w:t>
      </w:r>
      <w:r>
        <w:rPr>
          <w:i/>
          <w:iCs/>
          <w:color w:val="404040"/>
          <w:sz w:val="17"/>
          <w:szCs w:val="17"/>
        </w:rPr>
        <w:t xml:space="preserve">: ASI GVA is an estimate for 2015–16 based on 2013–14 data and expected growth; unorganised GVA is a CEEW estimate from value added per worker; economy-wide GVA at basic prices from RBI/NAD, MoSPI.</w:t>
      </w:r>
    </w:p>
    <w:p>
      <w:pPr>
        <w:pStyle w:val="Heading2"/>
        <w:keepNext/>
      </w:pPr>
      <w:r>
        <w:t xml:space="preserve">Table B.2: Energy balance for the Indian manufacturing sector, Mtoe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85"/>
        <w:gridCol w:w="685"/>
        <w:gridCol w:w="685"/>
        <w:gridCol w:w="685"/>
        <w:gridCol w:w="685"/>
        <w:gridCol w:w="685"/>
        <w:gridCol w:w="685"/>
        <w:gridCol w:w="685"/>
        <w:gridCol w:w="685"/>
        <w:gridCol w:w="685"/>
        <w:gridCol w:w="685"/>
        <w:gridCol w:w="691"/>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4"/>
                <w:szCs w:val="14"/>
              </w:rPr>
              <w:t xml:space="preserve">Year</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Coal: CCO</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Coal: CEEW</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Coal: NITI</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Gas: MoPNG</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Gas: CEEW</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Gas: NITI</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Pet.: MoPNG</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Pet.: CEEW</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Pet.: NITI</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Elec.: CEA</w:t>
            </w:r>
          </w:p>
        </w:tc>
        <w:tc>
          <w:tcPr>
            <w:tcW w:type="dxa" w:w="685"/>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Elec.: CEEW</w:t>
            </w:r>
          </w:p>
        </w:tc>
        <w:tc>
          <w:tcPr>
            <w:tcW w:type="dxa" w:w="691"/>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4"/>
                <w:szCs w:val="14"/>
              </w:rPr>
              <w:t xml:space="preserve">Elec.: NITI</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4"/>
                <w:szCs w:val="14"/>
              </w:rPr>
              <w:t xml:space="preserve">2006–07</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52</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46</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58</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3</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3</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10</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13</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12</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21</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15</w:t>
            </w:r>
          </w:p>
        </w:tc>
        <w:tc>
          <w:tcPr>
            <w:tcW w:type="dxa" w:w="69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21</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4"/>
                <w:szCs w:val="14"/>
              </w:rPr>
              <w:t xml:space="preserve">2007–08</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56</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62</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62</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4</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9</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15</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16</w:t>
            </w:r>
          </w:p>
        </w:tc>
        <w:tc>
          <w:tcPr>
            <w:tcW w:type="dxa" w:w="69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23</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4"/>
                <w:szCs w:val="14"/>
              </w:rPr>
              <w:t xml:space="preserve">2008–09</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60</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56</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70</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3</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8</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3</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11</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15</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16</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24</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17</w:t>
            </w:r>
          </w:p>
        </w:tc>
        <w:tc>
          <w:tcPr>
            <w:tcW w:type="dxa" w:w="69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24</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4"/>
                <w:szCs w:val="14"/>
              </w:rPr>
              <w:t xml:space="preserve">2009–10</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66</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65</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75</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7</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8</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12</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27</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14</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26</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18</w:t>
            </w:r>
          </w:p>
        </w:tc>
        <w:tc>
          <w:tcPr>
            <w:tcW w:type="dxa" w:w="69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26</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4"/>
                <w:szCs w:val="14"/>
              </w:rPr>
              <w:t xml:space="preserve">2010–11</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69</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76</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72</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8</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8</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11</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19</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12</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28</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20</w:t>
            </w:r>
          </w:p>
        </w:tc>
        <w:tc>
          <w:tcPr>
            <w:tcW w:type="dxa" w:w="69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28</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4"/>
                <w:szCs w:val="14"/>
              </w:rPr>
              <w:t xml:space="preserve">2011–12</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93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80</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79</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11</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9</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11</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21</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30</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21</w:t>
            </w:r>
          </w:p>
        </w:tc>
        <w:tc>
          <w:tcPr>
            <w:tcW w:type="dxa" w:w="69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30</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4"/>
                <w:szCs w:val="14"/>
              </w:rPr>
              <w:t xml:space="preserve">2012–13</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124</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95</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90</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10</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8</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3</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14</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18</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16</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31</w:t>
            </w:r>
          </w:p>
        </w:tc>
        <w:tc>
          <w:tcPr>
            <w:tcW w:type="dxa" w:w="68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23</w:t>
            </w:r>
          </w:p>
        </w:tc>
        <w:tc>
          <w:tcPr>
            <w:tcW w:type="dxa" w:w="69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4"/>
                <w:szCs w:val="14"/>
              </w:rPr>
              <w:t xml:space="preserve">32</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4"/>
                <w:szCs w:val="14"/>
              </w:rPr>
              <w:t xml:space="preserve">2013–14</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135</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93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101</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10</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18</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22</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16</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33</w:t>
            </w:r>
          </w:p>
        </w:tc>
        <w:tc>
          <w:tcPr>
            <w:tcW w:type="dxa" w:w="68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21</w:t>
            </w:r>
          </w:p>
        </w:tc>
        <w:tc>
          <w:tcPr>
            <w:tcW w:type="dxa" w:w="69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4"/>
                <w:szCs w:val="14"/>
              </w:rPr>
              <w:t xml:space="preserve">33</w:t>
            </w:r>
          </w:p>
        </w:tc>
      </w:tr>
    </w:tbl>
    <w:p>
      <w:pPr>
        <w:spacing w:after="160" w:before="60"/>
      </w:pPr>
      <w:r>
        <w:rPr>
          <w:i/>
          <w:iCs/>
          <w:color w:val="404040"/>
          <w:sz w:val="17"/>
          <w:szCs w:val="17"/>
        </w:rPr>
        <w:t xml:space="preserve">Coal &amp; lignite, natural gas, petroleum fuels and electricity. CEEW estimates exclude captive fuel use within industry for coal, gas and petroleum, but include grid and captive electricity; see notes in </w:t>
      </w:r>
      <w:r>
        <w:rPr>
          <w:b/>
          <w:bCs/>
          <w:color w:val="1F4E79"/>
          <w:sz w:val="17"/>
          <w:szCs w:val="17"/>
        </w:rPr>
        <w:t xml:space="preserve"> [S2]</w:t>
      </w:r>
      <w:r>
        <w:rPr>
          <w:i/>
          <w:iCs/>
          <w:color w:val="404040"/>
          <w:sz w:val="17"/>
          <w:szCs w:val="17"/>
        </w:rPr>
        <w:t xml:space="preserve"> for each column.</w:t>
      </w:r>
    </w:p>
    <w:p>
      <w:pPr>
        <w:pStyle w:val="Heading2"/>
        <w:keepNext/>
      </w:pPr>
      <w:r>
        <w:t xml:space="preserve">Table B.3: GVA and fuel expenditure of MSMEs in ASI 2013–14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800"/>
        <w:gridCol w:w="1600"/>
        <w:gridCol w:w="1626"/>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6"/>
                <w:szCs w:val="16"/>
              </w:rPr>
              <w:t xml:space="preserve">NIC 2008 division</w:t>
            </w:r>
          </w:p>
        </w:tc>
        <w:tc>
          <w:tcPr>
            <w:tcW w:type="dxa" w:w="3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6"/>
                <w:szCs w:val="16"/>
              </w:rPr>
              <w:t xml:space="preserve">Industry</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Fuel expenditure (INR million)</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GVA (INR million)</w:t>
            </w:r>
          </w:p>
        </w:tc>
        <w:tc>
          <w:tcPr>
            <w:tcW w:type="dxa" w:w="1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GVA ÷ fuel expenditure (as published)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5</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Mining of coal and lignite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40.3</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125</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7</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Mining of metal ores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4.4</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8</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Other mining and quarrying</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402</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4,150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10</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10</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Food products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109,000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526,000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11</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Beverages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17,600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111,000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Tobacco products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2,430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56,200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13</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Textiles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154,000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377,000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14</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Wearing apparel</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12,800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207,000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15</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Leather and related products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6,130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78,800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13</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16</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Wood and wood products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3,780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26,400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17</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Paper and paper products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39,300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78,600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18</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Printing and recorded media</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4,820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57,000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19</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Coke and refined petroleum products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24,500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58,600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20</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Chemicals and chemical products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174,000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483,000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21</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Pharmaceuticals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30,800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445,000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14</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Rubber and plastic products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39,000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264,000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7</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23</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Other non-metallic mineral products (incl. bricks)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197,000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285,000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24</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Basic metals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364,000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398,000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25</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Fabricated metal products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25,700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272,000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11</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26</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Computer, electronic and optical products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9,860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140,000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14</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27</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Electrical equipment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19,900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260,000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13</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28</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Machinery and equipment n.e.c.</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19,000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352,000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19</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29</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Motor vehicles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33,200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254,000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8</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30</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Other transport equipment</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13,800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149,000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31</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Furniture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1,360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20,600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15</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32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Other manufacturing</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6,030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110,000</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18</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42</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Civil engineering</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104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806</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8</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43</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Specialised construction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6.1</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137</w:t>
            </w:r>
          </w:p>
        </w:tc>
        <w:tc>
          <w:tcPr>
            <w:tcW w:type="dxa" w:w="1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23</w:t>
            </w:r>
          </w:p>
        </w:tc>
      </w:tr>
    </w:tbl>
    <w:p>
      <w:pPr>
        <w:spacing w:after="160" w:before="60"/>
      </w:pPr>
      <w:r>
        <w:rPr>
          <w:i/>
          <w:iCs/>
          <w:color w:val="404040"/>
          <w:sz w:val="17"/>
          <w:szCs w:val="17"/>
        </w:rPr>
        <w:t xml:space="preserve">Converted from INR to INR million </w:t>
      </w:r>
      <w:r>
        <w:rPr>
          <w:i/>
          <w:iCs/>
          <w:color w:val="7030A0"/>
          <w:sz w:val="17"/>
          <w:szCs w:val="17"/>
        </w:rPr>
        <w:t xml:space="preserve"> [Derived analysis]</w:t>
      </w:r>
      <w:r>
        <w:rPr>
          <w:i/>
          <w:iCs/>
          <w:color w:val="404040"/>
          <w:sz w:val="17"/>
          <w:szCs w:val="17"/>
        </w:rPr>
        <w:t xml:space="preserve">. A lower ratio means fuel makes up a larger share of value added; non-metallic minerals (23) and basic metals (24) have the lowest.</w:t>
      </w:r>
    </w:p>
    <w:p>
      <w:pPr>
        <w:pStyle w:val="Heading2"/>
        <w:keepNext/>
      </w:pPr>
      <w:r>
        <w:t xml:space="preserve">Table B.4: Coal and lignite use and emissions by industry, informal sector, 2015–16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700"/>
        <w:gridCol w:w="1600"/>
        <w:gridCol w:w="1526"/>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6"/>
                <w:szCs w:val="16"/>
              </w:rPr>
              <w:t xml:space="preserve">NIC 2008 division</w:t>
            </w:r>
          </w:p>
        </w:tc>
        <w:tc>
          <w:tcPr>
            <w:tcW w:type="dxa" w:w="3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6"/>
                <w:szCs w:val="16"/>
              </w:rPr>
              <w:t xml:space="preserve">Industry</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Coal and lignite (tonnes)</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Emissions (tCO2e)</w:t>
            </w:r>
          </w:p>
        </w:tc>
        <w:tc>
          <w:tcPr>
            <w:tcW w:type="dxa" w:w="15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right"/>
            </w:pPr>
            <w:r>
              <w:rPr>
                <w:b/>
                <w:bCs/>
                <w:color w:val="FFFFFF"/>
                <w:sz w:val="16"/>
                <w:szCs w:val="16"/>
              </w:rPr>
              <w:t xml:space="preserve">Share of quantity </w:t>
            </w:r>
            <w:r>
              <w:rPr>
                <w:i/>
                <w:iCs/>
                <w:color w:val="7030A0"/>
                <w:sz w:val="17"/>
                <w:szCs w:val="17"/>
              </w:rPr>
              <w:t xml:space="preserve"> [Derived analysis]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10</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Food products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2,844,156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5,388,491</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5.5%</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11</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Beverages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178,442</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343,214</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12</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Tobacco products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57,071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108,123</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0.1%</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13</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Textiles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6,855,498</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12,958,883</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13.2%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14</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Wearing apparel</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137,115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259,186</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0.3%</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15</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Leather and related products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32,080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60,641</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16</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Wood and wood products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196,993</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372,307</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0.4%</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17</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Paper and paper products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361,446</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683,333</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0.7%</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18</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Printing and recorded media</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104</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19</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Coke and refined petroleum products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22,836</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43,593</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20</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Chemicals and chemical products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77,357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147,602</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0.1%</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21</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Pharmaceuticals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22</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Rubber and plastic products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199,858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367,894</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0.4%</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23</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Other non-metallic mineral products (incl. bricks)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25,780,238</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47,817,672</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49.6%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24</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Basic metals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14,204,909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27,748,453</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27.3%</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25</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Fabricated metal products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498,736</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952,148</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26</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Computer, electronic and optical products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68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128</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27</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Electrical equipment</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6,522</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12,154</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28</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Machinery and equipment n.e.c.</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152,674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248,890</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0.3%</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29</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Motor vehicles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3,848</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8,311</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30</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Other transport equipment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38</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0.0%</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center"/>
            </w:pPr>
            <w:r>
              <w:rPr>
                <w:sz w:val="16"/>
                <w:szCs w:val="16"/>
              </w:rPr>
              <w:t xml:space="preserve">31</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6"/>
                <w:szCs w:val="16"/>
              </w:rPr>
              <w:t xml:space="preserve">Furniture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88,739</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167,743</w:t>
            </w:r>
          </w:p>
        </w:tc>
        <w:tc>
          <w:tcPr>
            <w:tcW w:type="dxa" w:w="15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right"/>
            </w:pPr>
            <w:r>
              <w:rPr>
                <w:sz w:val="16"/>
                <w:szCs w:val="16"/>
              </w:rPr>
              <w:t xml:space="preserve">0.2%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6"/>
                <w:szCs w:val="16"/>
              </w:rPr>
              <w:t xml:space="preserve">32</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6"/>
                <w:szCs w:val="16"/>
              </w:rPr>
              <w:t xml:space="preserve">Other manufacturing</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283,217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535,244</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right"/>
            </w:pPr>
            <w:r>
              <w:rPr>
                <w:sz w:val="16"/>
                <w:szCs w:val="16"/>
              </w:rPr>
              <w:t xml:space="preserve">0.5%</w:t>
            </w:r>
          </w:p>
        </w:tc>
      </w:tr>
      <w:tr>
        <w:trPr>
          <w:cantSplit/>
        </w:trPr>
        <w:tc>
          <w:tcPr>
            <w:tcW w:type="dxa" w:w="9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center"/>
            </w:pPr>
          </w:p>
        </w:tc>
        <w:tc>
          <w:tcPr>
            <w:tcW w:type="dxa" w:w="33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left"/>
            </w:pPr>
            <w:r>
              <w:rPr>
                <w:b/>
                <w:bCs/>
                <w:sz w:val="16"/>
                <w:szCs w:val="16"/>
              </w:rPr>
              <w:t xml:space="preserve">Sum of the rows above </w:t>
            </w:r>
            <w:r>
              <w:rPr>
                <w:i/>
                <w:iCs/>
                <w:color w:val="7030A0"/>
                <w:sz w:val="17"/>
                <w:szCs w:val="17"/>
              </w:rPr>
              <w:t xml:space="preserve"> [Derived analysis]</w:t>
            </w:r>
          </w:p>
        </w:tc>
        <w:tc>
          <w:tcPr>
            <w:tcW w:type="dxa" w:w="17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6"/>
                <w:szCs w:val="16"/>
              </w:rPr>
              <w:t xml:space="preserve">51,981,878</w:t>
            </w:r>
          </w:p>
        </w:tc>
        <w:tc>
          <w:tcPr>
            <w:tcW w:type="dxa" w:w="160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6"/>
                <w:szCs w:val="16"/>
              </w:rPr>
              <w:t xml:space="preserve">98,224,152</w:t>
            </w:r>
          </w:p>
        </w:tc>
        <w:tc>
          <w:tcPr>
            <w:tcW w:type="dxa" w:w="1526"/>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vAlign w:val="center"/>
          </w:tcPr>
          <w:p>
            <w:pPr>
              <w:spacing w:after="0"/>
              <w:jc w:val="right"/>
            </w:pPr>
            <w:r>
              <w:rPr>
                <w:b/>
                <w:bCs/>
                <w:sz w:val="16"/>
                <w:szCs w:val="16"/>
              </w:rPr>
              <w:t xml:space="preserve">100.0%</w:t>
            </w:r>
          </w:p>
        </w:tc>
      </w:tr>
    </w:tbl>
    <w:p>
      <w:pPr>
        <w:spacing w:after="160" w:before="60"/>
      </w:pPr>
      <w:r>
        <w:rPr>
          <w:i/>
          <w:iCs/>
          <w:color w:val="404040"/>
          <w:sz w:val="17"/>
          <w:szCs w:val="17"/>
        </w:rPr>
        <w:t xml:space="preserve">The sum of about 52.0 Mt is derived here by adding the divisions listed in Annexure 4 of </w:t>
      </w:r>
      <w:r>
        <w:rPr>
          <w:b/>
          <w:bCs/>
          <w:color w:val="1F4E79"/>
          <w:sz w:val="17"/>
          <w:szCs w:val="17"/>
        </w:rPr>
        <w:t xml:space="preserve"> [S2]</w:t>
      </w:r>
      <w:r>
        <w:rPr>
          <w:i/>
          <w:iCs/>
          <w:color w:val="404040"/>
          <w:sz w:val="17"/>
          <w:szCs w:val="17"/>
        </w:rPr>
        <w:t xml:space="preserve">; the brief does not print a total. Division 23 holds 49.6% of this sum, consistent with CEEW’s statement that brick kilns account for about 49% (26 Mt) </w:t>
      </w:r>
      <w:r>
        <w:rPr>
          <w:b/>
          <w:bCs/>
          <w:color w:val="1F4E79"/>
          <w:sz w:val="17"/>
          <w:szCs w:val="17"/>
        </w:rPr>
        <w:t xml:space="preserve"> [S2]</w:t>
      </w:r>
      <w:r>
        <w:rPr>
          <w:i/>
          <w:iCs/>
          <w:color w:val="404040"/>
          <w:sz w:val="17"/>
          <w:szCs w:val="17"/>
        </w:rPr>
        <w:t xml:space="preserve"> </w:t>
      </w:r>
      <w:r>
        <w:rPr>
          <w:i/>
          <w:iCs/>
          <w:color w:val="7030A0"/>
          <w:sz w:val="17"/>
          <w:szCs w:val="17"/>
        </w:rPr>
        <w:t xml:space="preserve"> [Derived analysis]</w:t>
      </w:r>
      <w:r>
        <w:rPr>
          <w:i/>
          <w:iCs/>
          <w:color w:val="404040"/>
          <w:sz w:val="17"/>
          <w:szCs w:val="17"/>
        </w:rPr>
        <w:t xml:space="preserve">. Annexure 4 of the brief also gives fuel-wise quantities and emissions for natural gas, diesel, furnace oil, LPG, kerosene, biomass and other petroleum fuels by division; Annexure 3 gives the same for 2005–06; Annexure 1 gives value added per worker. Refer to the brief for those tables.</w:t>
      </w:r>
    </w:p>
    <w:p>
      <w:pPr>
        <w:pStyle w:val="Heading2"/>
        <w:keepNext/>
      </w:pPr>
      <w:r>
        <w:t xml:space="preserve">Table B.5: Coal consumption in manufacturing, 2005–06, Mtoe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CEEW: formal (ASI)</w:t>
            </w:r>
          </w:p>
        </w:tc>
        <w:tc>
          <w:tcPr>
            <w:tcW w:type="dxa" w:w="225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center"/>
            </w:pPr>
            <w:r>
              <w:rPr>
                <w:b/>
                <w:bCs/>
                <w:color w:val="FFFFFF"/>
                <w:sz w:val="18"/>
                <w:szCs w:val="18"/>
              </w:rPr>
              <w:t xml:space="preserve">CEEW: informal (NSSO)</w:t>
            </w:r>
          </w:p>
        </w:tc>
        <w:tc>
          <w:tcPr>
            <w:tcW w:type="dxa" w:w="2257"/>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center"/>
            </w:pPr>
            <w:r>
              <w:rPr>
                <w:b/>
                <w:bCs/>
                <w:color w:val="FFFFFF"/>
                <w:sz w:val="18"/>
                <w:szCs w:val="18"/>
              </w:rPr>
              <w:t xml:space="preserve">Coal Directory: formal + informal</w:t>
            </w:r>
          </w:p>
        </w:tc>
        <w:tc>
          <w:tcPr>
            <w:tcW w:type="dxa" w:w="2257"/>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center"/>
            </w:pPr>
            <w:r>
              <w:rPr>
                <w:b/>
                <w:bCs/>
                <w:color w:val="FFFFFF"/>
                <w:sz w:val="18"/>
                <w:szCs w:val="18"/>
              </w:rPr>
              <w:t xml:space="preserve">NITI Aayog: economy-wide</w:t>
            </w:r>
          </w:p>
        </w:tc>
      </w:tr>
      <w:tr>
        <w:trPr>
          <w:cantSplit/>
        </w:trPr>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8"/>
                <w:szCs w:val="18"/>
              </w:rPr>
              <w:t xml:space="preserve">36</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8"/>
                <w:szCs w:val="18"/>
              </w:rPr>
              <w:t xml:space="preserve">7</w:t>
            </w:r>
          </w:p>
        </w:tc>
        <w:tc>
          <w:tcPr>
            <w:tcW w:type="dxa" w:w="225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8"/>
                <w:szCs w:val="18"/>
              </w:rPr>
              <w:t xml:space="preserve">48</w:t>
            </w:r>
          </w:p>
        </w:tc>
        <w:tc>
          <w:tcPr>
            <w:tcW w:type="dxa" w:w="225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center"/>
            </w:pPr>
            <w:r>
              <w:rPr>
                <w:sz w:val="18"/>
                <w:szCs w:val="18"/>
              </w:rPr>
              <w:t xml:space="preserve">51</w:t>
            </w:r>
          </w:p>
        </w:tc>
      </w:tr>
    </w:tbl>
    <w:p>
      <w:pPr>
        <w:pStyle w:val="Heading2"/>
        <w:keepNext/>
      </w:pPr>
      <w:r>
        <w:t xml:space="preserve">Table B.6: Brick-industry coal estimates compared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Study</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Coal use by brick industry</w:t>
            </w:r>
          </w:p>
        </w:tc>
        <w:tc>
          <w:tcPr>
            <w:tcW w:type="dxa" w:w="40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7"/>
                <w:szCs w:val="17"/>
              </w:rPr>
              <w:t xml:space="preserve">Note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CEEW (this brief)</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About 26 Mt per year</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ASI (2013–14) plus NSSO 73rd round (2015–16)</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Greentech / Shakti study (2013)</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About 35 Mt per year</w:t>
            </w:r>
          </w:p>
        </w:tc>
        <w:tc>
          <w:tcPr>
            <w:tcW w:type="dxa" w:w="40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Estimates for 2012</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CPCB study (Kamyotra, 2015)</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About 35–40 Mt per year</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sz w:val="17"/>
                <w:szCs w:val="17"/>
              </w:rPr>
              <w:t xml:space="preserve">Estimates for 2015; includes biomass in coal equivalent</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MNRE study (2013)</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46–69.1 Mt per year</w:t>
            </w:r>
          </w:p>
        </w:tc>
        <w:tc>
          <w:tcPr>
            <w:tcW w:type="dxa" w:w="40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sz w:val="17"/>
                <w:szCs w:val="17"/>
              </w:rPr>
              <w:t xml:space="preserve">Based on 17.4 t coal per lakh bricks and 6% or 9% growth in brick production; range average used in comparison for 2013</w:t>
            </w:r>
          </w:p>
        </w:tc>
      </w:tr>
    </w:tbl>
    <w:p>
      <w:pPr>
        <w:pStyle w:val="Heading1"/>
        <w:pageBreakBefore/>
      </w:pPr>
      <w:r>
        <w:t xml:space="preserve">Appendix C: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Term</w:t>
            </w:r>
          </w:p>
        </w:tc>
        <w:tc>
          <w:tcPr>
            <w:tcW w:type="dxa" w:w="6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vAlign w:val="center"/>
          </w:tcPr>
          <w:p>
            <w:pPr>
              <w:spacing w:after="0"/>
              <w:jc w:val="left"/>
            </w:pPr>
            <w:r>
              <w:rPr>
                <w:b/>
                <w:bCs/>
                <w:color w:val="FFFFFF"/>
                <w:sz w:val="18"/>
                <w:szCs w:val="18"/>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Activity data</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The measured or estimated quantity of an activity, such as kWh of electricity or kg of fuel.</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ASI</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Annual Survey of Industries; covers the organised manufacturing sector in India </w:t>
            </w:r>
            <w:r>
              <w:rPr>
                <w:b/>
                <w:bCs/>
                <w:color w:val="1F4E79"/>
                <w:sz w:val="17"/>
                <w:szCs w:val="17"/>
              </w:rPr>
              <w:t xml:space="preserve"> [S2]</w:t>
            </w:r>
            <w:r>
              <w:rPr>
                <w:b w:val="false"/>
                <w:bCs w:val="false"/>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CO2e</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Carbon dioxide equivalent: other gases converted to the warming effect of CO2 using global warming potentials </w:t>
            </w:r>
            <w:r>
              <w:rPr>
                <w:b/>
                <w:bCs/>
                <w:color w:val="1F4E79"/>
                <w:sz w:val="17"/>
                <w:szCs w:val="17"/>
              </w:rPr>
              <w:t xml:space="preserve"> [S1]</w:t>
            </w:r>
            <w:r>
              <w:rPr>
                <w:b w:val="false"/>
                <w:bCs w:val="false"/>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Emission factor (EF)</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Emissions per unit of energy or activity, for example tonnes of CO2 per TJ of fuel </w:t>
            </w:r>
            <w:r>
              <w:rPr>
                <w:b/>
                <w:bCs/>
                <w:color w:val="1F4E79"/>
                <w:sz w:val="17"/>
                <w:szCs w:val="17"/>
              </w:rPr>
              <w:t xml:space="preserve"> [S1]</w:t>
            </w:r>
            <w:r>
              <w:rPr>
                <w:b w:val="false"/>
                <w:bCs w:val="false"/>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GVA</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Gross value added: the value of output minus intermediate inputs </w:t>
            </w:r>
            <w:r>
              <w:rPr>
                <w:b/>
                <w:bCs/>
                <w:color w:val="1F4E79"/>
                <w:sz w:val="17"/>
                <w:szCs w:val="17"/>
              </w:rPr>
              <w:t xml:space="preserve"> [S2]</w:t>
            </w:r>
            <w:r>
              <w:rPr>
                <w:b w:val="false"/>
                <w:bCs w:val="false"/>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GWP</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Global warming potential; 100-year values of 28 for CH4 and 265 for N2O are used by CSTEP </w:t>
            </w:r>
            <w:r>
              <w:rPr>
                <w:b/>
                <w:bCs/>
                <w:color w:val="1F4E79"/>
                <w:sz w:val="17"/>
                <w:szCs w:val="17"/>
              </w:rPr>
              <w:t xml:space="preserve"> [S1]</w:t>
            </w:r>
            <w:r>
              <w:rPr>
                <w:b w:val="false"/>
                <w:bCs w:val="false"/>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Hotspot</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An activity or source that contributes a large share of total emissions or cost.</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Informal / unorganised sector</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Establishments outside the organised-sector definition (fewer than 10 workers with power or 20 without); the terms are used interchangeably in practice </w:t>
            </w:r>
            <w:r>
              <w:rPr>
                <w:b/>
                <w:bCs/>
                <w:color w:val="1F4E79"/>
                <w:sz w:val="17"/>
                <w:szCs w:val="17"/>
              </w:rPr>
              <w:t xml:space="preserve"> [S2]</w:t>
            </w:r>
            <w:r>
              <w:rPr>
                <w:b w:val="false"/>
                <w:bCs w:val="false"/>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MSME</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Micro, small and medium enterprise.</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NCV</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Net calorific value: energy content of a fuel, here in TJ per kt </w:t>
            </w:r>
            <w:r>
              <w:rPr>
                <w:b/>
                <w:bCs/>
                <w:color w:val="1F4E79"/>
                <w:sz w:val="17"/>
                <w:szCs w:val="17"/>
              </w:rPr>
              <w:t xml:space="preserve"> [S1]</w:t>
            </w:r>
            <w:r>
              <w:rPr>
                <w:b w:val="false"/>
                <w:bCs w:val="false"/>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NIC</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National Industrial Classification used in Indian statistics.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Pedigree matrix</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A table that converts qualitative data-quality ratings into uncertainty factors </w:t>
            </w:r>
            <w:r>
              <w:rPr>
                <w:b/>
                <w:bCs/>
                <w:color w:val="1F4E79"/>
                <w:sz w:val="17"/>
                <w:szCs w:val="17"/>
              </w:rPr>
              <w:t xml:space="preserve"> [S9]</w:t>
            </w:r>
            <w:r>
              <w:rPr>
                <w:b w:val="false"/>
                <w:bCs w:val="false"/>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Scope 1, 2, 3</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Direct emissions from owned sources; emissions from purchased electricity; and other indirect emissions in the value chain.</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bCs/>
                <w:sz w:val="18"/>
                <w:szCs w:val="18"/>
              </w:rPr>
              <w:t xml:space="preserve">TJ, kt, Mt, GJ</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center"/>
          </w:tcPr>
          <w:p>
            <w:pPr>
              <w:spacing w:after="0"/>
              <w:jc w:val="left"/>
            </w:pPr>
            <w:r>
              <w:rPr>
                <w:b w:val="false"/>
                <w:bCs w:val="false"/>
                <w:sz w:val="18"/>
                <w:szCs w:val="18"/>
              </w:rPr>
              <w:t xml:space="preserve">Terajoule; kilotonne (1,000 t); million tonnes; gigajoule.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bCs/>
                <w:sz w:val="18"/>
                <w:szCs w:val="18"/>
              </w:rPr>
              <w:t xml:space="preserve">Trust index</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jc w:val="left"/>
            </w:pPr>
            <w:r>
              <w:rPr>
                <w:b w:val="false"/>
                <w:bCs w:val="false"/>
                <w:sz w:val="18"/>
                <w:szCs w:val="18"/>
              </w:rPr>
              <w:t xml:space="preserve">GreenEIS measure (0 to 1) of how well-supported the emission figures are by measured data </w:t>
            </w:r>
            <w:r>
              <w:rPr>
                <w:i/>
                <w:iCs/>
                <w:color w:val="C55A11"/>
                <w:sz w:val="17"/>
                <w:szCs w:val="17"/>
              </w:rPr>
              <w:t xml:space="preserve"> [Design choice]</w:t>
            </w:r>
            <w:r>
              <w:rPr>
                <w:b w:val="false"/>
                <w:bCs w:val="false"/>
                <w:sz w:val="18"/>
                <w:szCs w:val="18"/>
              </w:rPr>
              <w:t xml:space="preserve">.</w:t>
            </w:r>
          </w:p>
        </w:tc>
      </w:tr>
    </w:tbl>
    <w:sectPr>
      <w:headerReference w:type="default" r:id="rId7"/>
      <w:footerReference w:type="default" r:id="rId8"/>
      <w:pgSz w:w="11906" w:h="16838"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Page </w:t>
    </w:r>
    <w:r>
      <w:rPr>
        <w:color w:val="7F7F7F"/>
        <w:sz w:val="17"/>
        <w:szCs w:val="17"/>
      </w:rPr>
      <w:fldChar w:fldCharType="begin"/>
      <w:instrText xml:space="preserve">PAGE</w:instrText>
      <w:fldChar w:fldCharType="separate"/>
      <w:fldChar w:fldCharType="end"/>
    </w:r>
    <w:r>
      <w:rPr>
        <w:color w:val="7F7F7F"/>
        <w:sz w:val="17"/>
        <w:szCs w:val="17"/>
      </w:rPr>
      <w:t xml:space="preserve"> of </w:t>
    </w:r>
    <w:r>
      <w:rPr>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7F7F7F"/>
        <w:sz w:val="17"/>
        <w:szCs w:val="17"/>
      </w:rPr>
      <w:t xml:space="preserve">GreenEIS | Research Evidence Base and System Design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GreenEIS: Research Evidence Base, Data Compendium and System Design Reference</dc:title>
  <dc:creator>GreenEIS project</dc:creator>
  <dc:description>Source-referenced reference document for the GreenEIS project</dc:description>
  <cp:lastModifiedBy>Un-named</cp:lastModifiedBy>
  <cp:revision>1</cp:revision>
  <dcterms:created xsi:type="dcterms:W3CDTF">2026-10-25T14:30:36.866Z</dcterms:created>
  <dcterms:modified xsi:type="dcterms:W3CDTF">2026-10-25T14:30:36.869Z</dcterms:modified>
</cp:coreProperties>
</file>

<file path=docProps/custom.xml><?xml version="1.0" encoding="utf-8"?>
<Properties xmlns="http://schemas.openxmlformats.org/officeDocument/2006/custom-properties" xmlns:vt="http://schemas.openxmlformats.org/officeDocument/2006/docPropsVTypes"/>
</file>