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What does an interpretable buyer persona cost? A measurement-first evaluation of customer representations</w:t>
      </w:r>
    </w:p>
    <w:p>
      <w:r>
        <w:rPr>
          <w:b/>
        </w:rPr>
        <w:t>Article classification:</w:t>
      </w:r>
      <w:r>
        <w:t xml:space="preserve"> Research paper</w:t>
      </w:r>
    </w:p>
    <w:p>
      <w:r>
        <w:rPr>
          <w:b/>
        </w:rPr>
        <w:t>Keywords:</w:t>
      </w:r>
      <w:r>
        <w:t xml:space="preserve"> Buyer personas, customer segmentation, marketing analytics, interpretability, predictive validation, representation learning</w:t>
      </w:r>
    </w:p>
    <w:p>
      <w:pPr>
        <w:spacing w:before="240"/>
      </w:pPr>
      <w:r>
        <w:rPr>
          <w:b/>
          <w:sz w:val="24"/>
        </w:rPr>
        <w:t>Structured abstract</w:t>
      </w:r>
    </w:p>
    <w:p>
      <w:r>
        <w:rPr>
          <w:b/>
        </w:rPr>
        <w:t>Purpose.</w:t>
      </w:r>
      <w:r>
        <w:t xml:space="preserve"> Buyer personas direct substantial marketing expenditure, yet the field's own survey names persona evaluation as an open gap. Existing predictive validation reduces persona quality to a single accuracy figure, which cannot express what is given up to obtain interpretability. This paper asks what an interpretable persona costs.</w:t>
      </w:r>
    </w:p>
    <w:p>
      <w:r>
        <w:rPr>
          <w:b/>
        </w:rPr>
        <w:t>Design/methodology/approach.</w:t>
      </w:r>
      <w:r>
        <w:t xml:space="preserve"> Persona quality is reformulated as three falsifiable properties: predictive lift on held-out behaviour, construct alignment, and stability across repeated estimation. Nine representations, including RFM, PCA, autoencoders and a construct-aligned variational autoencoder, are compared on two public datasets (2,240 customers; 2.55 million users from 110 million events), plus two construct-based controls. All use a frozen- representation protocol with automated leakage guards, six seeds, and bars fixed in advance.</w:t>
      </w:r>
    </w:p>
    <w:p>
      <w:r>
        <w:rPr>
          <w:b/>
        </w:rPr>
        <w:t>Findings.</w:t>
      </w:r>
      <w:r>
        <w:t xml:space="preserve"> Non-neural incumbents set the strongest bars; the construct-aligned model falls below both and yields less stable personas. On the survey dataset, two controls sharpen this: alignment is a subspace property rather than one of individual named axes, and a zero- training representation built from the constructs achieves comparable measured lift with perfect axis purity.</w:t>
      </w:r>
    </w:p>
    <w:p>
      <w:r>
        <w:rPr>
          <w:b/>
        </w:rPr>
        <w:t>Practical implications.</w:t>
      </w:r>
      <w:r>
        <w:t xml:space="preserve"> Managers can price interpretability rather than assume it. For ranking customers by purchase propensity, RFM remains more accurate and more stable at no cost. Where interpretable coordinates are the goal, they can be built directly from existing features, without a neural model.</w:t>
      </w:r>
    </w:p>
    <w:p>
      <w:r>
        <w:rPr>
          <w:b/>
        </w:rPr>
        <w:t>Originality/value.</w:t>
      </w:r>
      <w:r>
        <w:t xml:space="preserve"> The contribution is measurement rather than method: a protocol that prices interpretability, and evidence that an assumed benefit of neural segmentation does not survive it.</w:t>
      </w:r>
    </w:p>
    <w:p>
      <w:pPr>
        <w:spacing w:before="240"/>
      </w:pPr>
      <w:r>
        <w:rPr>
          <w:b/>
          <w:sz w:val="24"/>
        </w:rPr>
        <w:t>1. Introduction</w:t>
      </w:r>
    </w:p>
    <w:p>
      <w:r>
        <w:t xml:space="preserve">Customer segmentation into buyer personas is a standard instrument of marketing practice, and data-driven persona development now has a substantial research literature of its own. That literature's most comprehensive review, covering 77 articles published between 2005 and 2020, nonetheless lists evaluation methods among the field's persistent open gaps (Salminen </w:t>
      </w:r>
      <w:r>
        <w:rPr>
          <w:i/>
        </w:rPr>
        <w:t>et al.</w:t>
      </w:r>
      <w:r>
        <w:t xml:space="preserve">, 2021). Work addressing the gap exists. Hsu </w:t>
      </w:r>
      <w:r>
        <w:rPr>
          <w:i/>
        </w:rPr>
        <w:t>et al.</w:t>
      </w:r>
      <w:r>
        <w:t xml:space="preserve"> (2023) build personas with predictive algorithms, hold out a partition, and validate against real purchase behaviour, showing that clustering-based personas fail to separate buyers where a predictive persona does.</w:t>
      </w:r>
    </w:p>
    <w:p>
      <w:r>
        <w:t>Their measure is a single accuracy figure, and that is the limitation this paper addresses. Practitioners do not choose personas on accuracy alone. They choose them because a persona can be named, explained to a marketing team, and relied upon to mean the same thing next quarter. A one-dimensional criterion cannot express what is given up to obtain those properties, so it cannot tell a manager whether interpretability is worth its price.</w:t>
      </w:r>
    </w:p>
    <w:p>
      <w:r>
        <w:t>We treat this as a measurement problem. A persona representation is good, we argue, exactly to the extent that it satisfies three properties, each measurable and each able to fail independently:</w:t>
      </w:r>
    </w:p>
    <w:p>
      <w:r>
        <w:t xml:space="preserve">1. </w:t>
      </w:r>
      <w:r>
        <w:rPr>
          <w:b/>
        </w:rPr>
        <w:t>Predictive lift.</w:t>
      </w:r>
      <w:r>
        <w:t xml:space="preserve"> A frozen representation should predict real future behaviour at least as well as incumbent representations, under a protocol that forbids it from ever seeing the labels. 2. </w:t>
      </w:r>
      <w:r>
        <w:rPr>
          <w:b/>
        </w:rPr>
        <w:t>Interpretability.</w:t>
      </w:r>
      <w:r>
        <w:t xml:space="preserve"> The latent space should carry named marketing constructs (recency-frequency-monetary value, price sensitivity, category affinity) recoverably </w:t>
      </w:r>
      <w:r>
        <w:rPr>
          <w:i/>
        </w:rPr>
        <w:t>and separably</w:t>
      </w:r>
      <w:r>
        <w:t xml:space="preserve">. 3. </w:t>
      </w:r>
      <w:r>
        <w:rPr>
          <w:b/>
        </w:rPr>
        <w:t>Stability.</w:t>
      </w:r>
      <w:r>
        <w:t xml:space="preserve"> Persona assignments should persist across repeated estimation.</w:t>
      </w:r>
    </w:p>
    <w:p>
      <w:r>
        <w:t>The vehicle for testing whether all three can hold at once is a construct-aligned disentangled variational autoencoder (CA-DVAE), whose latent vector is split into a block trained to predict the named constructs and a free block. Neither the architecture nor the split is claimed as novel. Sweeping the alignment strength traces what alignment buys and what it costs.</w:t>
      </w:r>
    </w:p>
    <w:p>
      <w:r>
        <w:t xml:space="preserve">The findings are largely negative and specific, which is the contribution. Under honest evaluation, the incumbents this literature tends to dismiss are the strongest baselines. Strong construct alignment costs predictive lift and can reduce stability. When the interpretability claim is itself tested rather than assumed, it proves narrower than reported: on the survey dataset the constructs live in a latent </w:t>
      </w:r>
      <w:r>
        <w:rPr>
          <w:i/>
        </w:rPr>
        <w:t>subspace</w:t>
      </w:r>
      <w:r>
        <w:t xml:space="preserve"> rather than on individual named axes, and a representation that simply uses the constructs as coordinates achieves comparable measured lift without any training at all.</w:t>
      </w:r>
    </w:p>
    <w:p>
      <w:pPr>
        <w:spacing w:before="240"/>
      </w:pPr>
      <w:r>
        <w:rPr>
          <w:b/>
          <w:sz w:val="24"/>
        </w:rPr>
        <w:t>2. Background</w:t>
      </w:r>
    </w:p>
    <w:p>
      <w:r>
        <w:rPr>
          <w:b/>
        </w:rPr>
        <w:t>Persona evaluation.</w:t>
      </w:r>
      <w:r>
        <w:t xml:space="preserve"> Salminen </w:t>
      </w:r>
      <w:r>
        <w:rPr>
          <w:i/>
        </w:rPr>
        <w:t>et al.</w:t>
      </w:r>
      <w:r>
        <w:t xml:space="preserve"> (2021) establish the evaluation gap this work addresses. Hsu </w:t>
      </w:r>
      <w:r>
        <w:rPr>
          <w:i/>
        </w:rPr>
        <w:t>et al.</w:t>
      </w:r>
      <w:r>
        <w:t xml:space="preserve"> (2023) are the nearest neighbour. Their predictive personas are validated on a held-out partition and against subsequent coupon redemption, and we do not claim that measuring persona quality by held-out prediction is new. It is theirs. What is new here is holding three properties as co-equal criteria and measuring the trade-offs among them, and evaluating a task-agnostic </w:t>
      </w:r>
      <w:r>
        <w:rPr>
          <w:i/>
        </w:rPr>
        <w:t>representation</w:t>
      </w:r>
      <w:r>
        <w:t xml:space="preserve"> by transfer to labels it never saw rather than a persona set defined by one supervised outcome.</w:t>
      </w:r>
    </w:p>
    <w:p>
      <w:r>
        <w:t xml:space="preserve">Two things called persona stability must be distinguished. Jansen </w:t>
      </w:r>
      <w:r>
        <w:rPr>
          <w:i/>
        </w:rPr>
        <w:t>et al.</w:t>
      </w:r>
      <w:r>
        <w:t xml:space="preserve"> (2021) measure it longitudinally, generating personas over 32 monthly rounds and reporting an average 40% change as the audience evolves. This paper measures </w:t>
      </w:r>
      <w:r>
        <w:rPr>
          <w:i/>
        </w:rPr>
        <w:t>stochastic reproducibility</w:t>
      </w:r>
      <w:r>
        <w:t>, meaning the same population under repeated estimation, using the bootstrap-and-adjusted-Rand approach already standard in marketing methodology (Dolnicar and Leisch, 2010). The properties are independent. A representation can be perfectly reproducible on a fixed population and obsolete within months.</w:t>
      </w:r>
    </w:p>
    <w:p>
      <w:r>
        <w:rPr>
          <w:b/>
        </w:rPr>
        <w:t>Interpretable representations.</w:t>
      </w:r>
      <w:r>
        <w:t xml:space="preserve"> Constraining designated units to predict named concepts is the concept bottleneck family (Koh </w:t>
      </w:r>
      <w:r>
        <w:rPr>
          <w:i/>
        </w:rPr>
        <w:t>et al.</w:t>
      </w:r>
      <w:r>
        <w:t xml:space="preserve">, 2020), and the specific arrangement used here, supervised concepts alongside unsupervised ones in the same layer, is prior art (Sawada and Nakamura, 2022). In the customer domain, Mancisidor </w:t>
      </w:r>
      <w:r>
        <w:rPr>
          <w:i/>
        </w:rPr>
        <w:t>et al.</w:t>
      </w:r>
      <w:r>
        <w:t xml:space="preserve"> (2019) steer a customer VAE's latent space with a business quantity. Concept-supervised models with an unsupervised side channel are also known to leak: learned concept representations encode information beyond the named concepts, and the resulting explanations mislead (Mahinpei </w:t>
      </w:r>
      <w:r>
        <w:rPr>
          <w:i/>
        </w:rPr>
        <w:t>et al.</w:t>
      </w:r>
      <w:r>
        <w:t xml:space="preserve">, 2021; Margeloiu </w:t>
      </w:r>
      <w:r>
        <w:rPr>
          <w:i/>
        </w:rPr>
        <w:t>et al.</w:t>
      </w:r>
      <w:r>
        <w:t>, 2021). That documented failure motivates the diagnostic in Section 4.3.</w:t>
      </w:r>
    </w:p>
    <w:p>
      <w:r>
        <w:rPr>
          <w:b/>
        </w:rPr>
        <w:t>What this study does not claim.</w:t>
      </w:r>
      <w:r>
        <w:t xml:space="preserve"> Each component of the approach has an established antecedent, and it is worth saying so plainly. The variational autoencoder and the aligned/free latent split are prior art. Validating personas by held-out prediction is prior art. Assessing segmentation stability by resampling agreement is long-established marketing methodology. Naming the tension between interpretability and performance in segmentation is prior art. What is claimed is narrower: holding the three properties as co-equal criteria, measuring the exchange rate between them under a protocol strict enough that the numbers survive scrutiny, and two methodological findings that emerge only from doing so. Those are that a standard disentanglement metric selects models in the wrong direction when business constructs are correlated, and that reproducibility and performance must be read jointly because degenerate segmentations are maximally stable.</w:t>
      </w:r>
    </w:p>
    <w:p>
      <w:r>
        <w:rPr>
          <w:b/>
        </w:rPr>
        <w:t>Neural segmentation and its evaluation.</w:t>
      </w:r>
      <w:r>
        <w:t xml:space="preserve"> Deep embedded clustering (Xie </w:t>
      </w:r>
      <w:r>
        <w:rPr>
          <w:i/>
        </w:rPr>
        <w:t>et al.</w:t>
      </w:r>
      <w:r>
        <w:t xml:space="preserve">, 2016) and autoencoder-plus-k-means pipelines dominate neural segmentation, and published evaluations typically report internal cluster indices on a single run. Boussebough </w:t>
      </w:r>
      <w:r>
        <w:rPr>
          <w:i/>
        </w:rPr>
        <w:t>et al.</w:t>
      </w:r>
      <w:r>
        <w:t xml:space="preserve"> (2026) and Grigorova </w:t>
      </w:r>
      <w:r>
        <w:rPr>
          <w:i/>
        </w:rPr>
        <w:t>et al.</w:t>
      </w:r>
      <w:r>
        <w:t xml:space="preserve"> (2025) both weigh interpretability against performance in customer segmentation, but resolve the tension qualitatively or with internal indices rather than held-out prediction. Our baseline findings are also consistent with a broader result: in a benchmark spanning 45 datasets under matched tuning, tree-based models remained state of the art on medium-sized tabular data (Grinsztajn </w:t>
      </w:r>
      <w:r>
        <w:rPr>
          <w:i/>
        </w:rPr>
        <w:t>et al.</w:t>
      </w:r>
      <w:r>
        <w:t>, 2022).</w:t>
      </w:r>
    </w:p>
    <w:p>
      <w:pPr>
        <w:spacing w:before="240"/>
      </w:pPr>
      <w:r>
        <w:rPr>
          <w:b/>
          <w:sz w:val="24"/>
        </w:rPr>
        <w:t>3. Method</w:t>
      </w:r>
    </w:p>
    <w:p>
      <w:r>
        <w:rPr>
          <w:b/>
        </w:rPr>
        <w:t>Datasets.</w:t>
      </w:r>
      <w:r>
        <w:t xml:space="preserve"> Dataset A is Customer Personality Analysis: 2,240 customers, 29 survey-style columns, with response to the final campaign as the label (14.9% positive) and stratified splits redrawn per seed. Dataset B is a multi-category e-commerce log of 109,950,743 events over two months, aggregated to 2.55 million users by 27 features. Its features come from a window strictly preceding the label window, and train, validation and test sets are user-disjoint. Its labels are future purchase (3.3% positive), dormancy, and next purchase category.</w:t>
      </w:r>
    </w:p>
    <w:p>
      <w:r>
        <w:rPr>
          <w:b/>
        </w:rPr>
        <w:t>Constructs.</w:t>
      </w:r>
      <w:r>
        <w:t xml:space="preserve"> Ten construct targets on Dataset A and seventeen on Dataset B cover RFM, a price-sensitivity index and category-affinity shares. These are computed on the training split only and standardised without refitting, and a perturbation test proves test rows cannot move the fitted scaler. One property shapes everything that follows: </w:t>
      </w:r>
      <w:r>
        <w:rPr>
          <w:b/>
        </w:rPr>
        <w:t>the constructs are deterministic functions of the input features.</w:t>
      </w:r>
      <w:r>
        <w:t xml:space="preserve"> The alignment task therefore adds no information and can only shape the geometry of the latent space, which is why the control in Section 4.4 is the decisive experiment.</w:t>
      </w:r>
    </w:p>
    <w:p>
      <w:r>
        <w:rPr>
          <w:b/>
        </w:rPr>
        <w:t>Model.</w:t>
      </w:r>
      <w:r>
        <w:t xml:space="preserve"> A dense VAE over customer features, latent dimension 16, whose latent vector is partitioned into an aligned block trained by a </w:t>
      </w:r>
      <w:r>
        <w:rPr>
          <w:i/>
        </w:rPr>
        <w:t>linear</w:t>
      </w:r>
      <w:r>
        <w:t xml:space="preserve"> head to predict the standardised constructs and a free block carrying a β-weighted Kullback–Leibler term. Linearity is a design constraint rather than a simplification: it is what makes a construct correspond to a direction. The alignment weight λ and disentanglement weight β are swept over a 6 by 4 grid across 6 seeds, giving 144 runs per dataset.</w:t>
      </w:r>
    </w:p>
    <w:p>
      <w:r>
        <w:t>Because alignment and disentanglement are separate configuration values rather than separate code paths, each can be switched off without touching the implementation. Setting the alignment weight to zero recovers a conventional β-VAE, and holding β at one removes the additional disentanglement pressure while retaining alignment. Both ablations are points on the same swept grid, evaluated by the same protocol as the full model.</w:t>
      </w:r>
    </w:p>
    <w:p>
      <w:r>
        <w:rPr>
          <w:b/>
        </w:rPr>
        <w:t>Protocol.</w:t>
      </w:r>
      <w:r>
        <w:t xml:space="preserve"> Every representation is fit on training data only, then </w:t>
      </w:r>
      <w:r>
        <w:rPr>
          <w:b/>
        </w:rPr>
        <w:t>frozen</w:t>
      </w:r>
      <w:r>
        <w:t xml:space="preserve">. Two downstream heads, L2 logistic regression and gradient-boosted trees, are trained on the frozen features and evaluated on held-out test data, and labels never touch representation learning. The baselines are RFM, RFM+k-means, PCA at matched capacity, an autoencoder, AE+k-means, a Gaussian mixture on AE embeddings, and deep embedded clustering. All were run and the performance bar fixed </w:t>
      </w:r>
      <w:r>
        <w:rPr>
          <w:b/>
        </w:rPr>
        <w:t>before</w:t>
      </w:r>
      <w:r>
        <w:t xml:space="preserve"> any proposed-model run. The raw feature vector is included as a reference ceiling and excluded from bar selection.</w:t>
      </w:r>
    </w:p>
    <w:p>
      <w:r>
        <w:rPr>
          <w:b/>
        </w:rPr>
        <w:t>Guarding against leakage.</w:t>
      </w:r>
      <w:r>
        <w:t xml:space="preserve"> The most common way a study like this produces an attractive but false result is by letting information from the evaluation period reach the representation. Four guards are enforced as automated tests rather than as convention. Cleaning statistics, construct scalers and every fitted transform are estimated on training rows only, and a perturbation test corrupts the held-out rows to prove the fitted values do not move. On the behavioural dataset, an ordering assertion checks that every feature event precedes every label event, and the user-disjoint split blocks the same customer appearing on both sides. Downstream labels are introduced only when the heads are fitted, after the representation is frozen. A drift guard pins the evaluation heads used during the sweep to the specification used when the bars were set, so the comparison cannot silently change under the proposed model.</w:t>
      </w:r>
    </w:p>
    <w:p>
      <w:r>
        <w:rPr>
          <w:b/>
        </w:rPr>
        <w:t>Selection hygiene.</w:t>
      </w:r>
      <w:r>
        <w:t xml:space="preserve"> An audit conducted before any sweep computation found that the operating point would have been chosen on test metrics, which is the classic tuned-on-test flaw. The sweep therefore records validation metrics for every run. The operating point is selected on validation and reported on test, and a sensitivity analysis confirms the selection is not an artefact of the tolerance used. Where several downstream tasks exist, each is compared against the best baseline </w:t>
      </w:r>
      <w:r>
        <w:rPr>
          <w:i/>
        </w:rPr>
        <w:t>for that task</w:t>
      </w:r>
      <w:r>
        <w:t xml:space="preserve"> rather than a single global baseline, so no comparison is made against a straw man.</w:t>
      </w:r>
    </w:p>
    <w:p>
      <w:r>
        <w:rPr>
          <w:b/>
        </w:rPr>
        <w:t>Statistics.</w:t>
      </w:r>
      <w:r>
        <w:t xml:space="preserve"> Every figure is a mean ± standard deviation over six seeds with paired tests from two families. One limitation deserves stating plainly: at six seeds the two-sided Wilcoxon p-value has a discrete floor of 0.031, so every Wilcoxon result here sits at that floor and none survives Holm correction across a realistic comparison family. Claims therefore rest on the paired </w:t>
      </w:r>
      <w:r>
        <w:rPr>
          <w:i/>
        </w:rPr>
        <w:t>t</w:t>
      </w:r>
      <w:r>
        <w:t>-test, effect sizes and per-seed consistency, with Holm-adjusted values reported alongside.</w:t>
      </w:r>
    </w:p>
    <w:p>
      <w:r>
        <w:rPr>
          <w:b/>
        </w:rPr>
        <w:t>What was fixed in advance.</w:t>
      </w:r>
      <w:r>
        <w:t xml:space="preserve"> Two things, and it is worth being exact about which. First, the performance bars: running all baselines and fixing the bar before any proposed-model run was a gate in the project protocol, and the baseline campaign completed before the sweep began. Second, the three properties and the direction expected of each were set out in the project's design document before any model was run. Those were that the representation would predict behaviour better than incumbents (E1), that its </w:t>
      </w:r>
      <w:r>
        <w:rPr>
          <w:i/>
        </w:rPr>
        <w:t>latent axes</w:t>
      </w:r>
      <w:r>
        <w:t xml:space="preserve"> would align with named constructs (E2), and that persona assignments would persist across seeds and resamples (E3). These are design expectations recorded in advance rather than a registered analysis plan. No external pre-registration was filed, and the labels are introduced here for exposition.</w:t>
      </w:r>
    </w:p>
    <w:p>
      <w:pPr>
        <w:spacing w:before="240"/>
      </w:pPr>
      <w:r>
        <w:rPr>
          <w:b/>
          <w:sz w:val="24"/>
        </w:rPr>
        <w:t>4. Findings</w:t>
      </w:r>
    </w:p>
    <w:p>
      <w:pPr>
        <w:spacing w:before="240"/>
      </w:pPr>
      <w:r>
        <w:rPr>
          <w:i/>
          <w:sz w:val="24"/>
        </w:rPr>
        <w:t>4.1 The bars: non-neural incumbents win</w:t>
      </w:r>
    </w:p>
    <w:p>
      <w:pPr>
        <w:jc w:val="center"/>
      </w:pPr>
      <w:r>
        <w:rPr>
          <w:b/>
        </w:rPr>
        <w:t>[Insert Table I about here]</w:t>
      </w:r>
    </w:p>
    <w:p>
      <w:r>
        <w:t>*Excluded from bar selection. Bold marks each dataset's performance bar, fixed before the proposed-model sweep. The two construct-based controls appear in Table IV; they were run on Dataset A only.</w:t>
      </w:r>
    </w:p>
    <w:p>
      <w:r>
        <w:t>The representations this literature most often treats as superseded are the strongest. On survey-style data, PCA significantly beats a trained autoencoder (</w:t>
      </w:r>
      <w:r>
        <w:rPr>
          <w:i/>
        </w:rPr>
        <w:t>t</w:t>
      </w:r>
      <w:r>
        <w:t>, p = 0.002) and is statistically indistinguishable from the raw ceiling. On behavioural data, three raw RFM features beat every learned representation. Hard cluster assignment, which is the standard persona format, is a major signal destroyer in these experiments: every eight-cluster one-hot representation loses between 40% and 65% of its parent embedding's PR-AUC. An evaluation reporting only silhouette scores on a single run would observe none of this.</w:t>
      </w:r>
    </w:p>
    <w:p>
      <w:r>
        <w:t xml:space="preserve">Undertuned baselines are the most common source of illusory improvement, and the proposed model receives 24 configurations per seed from the sweep. To keep the comparison fair we ran a dedicated tuning study for the strongest neural baseline on the survey dataset, six configurations across six seeds. </w:t>
      </w:r>
      <w:r>
        <w:rPr>
          <w:b/>
        </w:rPr>
        <w:t>The bar survives.</w:t>
      </w:r>
      <w:r>
        <w:t xml:space="preserve"> The best-tuned autoencoder reaches 0.5519 under the tree head, still below PCA. For transparency, an autoencoder at twice the proposed model's latent capacity reaches parity with PCA under the linear head (0.5731), a difference not statistically distinguishable in either test family. The bar is unchanged, and the raw ceiling remains above everything.</w:t>
      </w:r>
    </w:p>
    <w:p>
      <w:r>
        <w:rPr>
          <w:b/>
        </w:rPr>
        <w:t>E1 is not supported on either dataset.</w:t>
      </w:r>
      <w:r>
        <w:t xml:space="preserve"> CA-DVAE at its validation-selected operating point sits below both bars under the paired </w:t>
      </w:r>
      <w:r>
        <w:rPr>
          <w:i/>
        </w:rPr>
        <w:t>t</w:t>
      </w:r>
      <w:r>
        <w:t xml:space="preserve">-test (Dataset A: −0.055, p = 0.003; Dataset B: −0.016, p = 3.4 × 10⁻⁵), consistently across every seed. A separate observation points the same way and is consistent with prior work (Nai </w:t>
      </w:r>
      <w:r>
        <w:rPr>
          <w:i/>
        </w:rPr>
        <w:t>et al.</w:t>
      </w:r>
      <w:r>
        <w:t>, 2024): high-β configurations are the worst on both datasets, because pressure toward dimension-wise independence costs the informativeness the downstream head needs. This was anticipated during model development. A posterior-collapse diagnostic recorded before the sweep led to extending the grid downward in β, so it is reported as a confirmed expectation rather than as a tested hypothesis.</w:t>
      </w:r>
    </w:p>
    <w:p>
      <w:r>
        <w:t>Figure 1 plots the trade-off surface: downstream performance against construct alignment across the swept grid, with the bar marked.</w:t>
      </w:r>
    </w:p>
    <w:p>
      <w:pPr>
        <w:jc w:val="center"/>
      </w:pPr>
      <w:r>
        <w:drawing>
          <wp:inline xmlns:a="http://schemas.openxmlformats.org/drawingml/2006/main" xmlns:pic="http://schemas.openxmlformats.org/drawingml/2006/picture">
            <wp:extent cx="5486400" cy="3793281"/>
            <wp:docPr id="1" name="Picture 1"/>
            <wp:cNvGraphicFramePr>
              <a:graphicFrameLocks noChangeAspect="1"/>
            </wp:cNvGraphicFramePr>
            <a:graphic>
              <a:graphicData uri="http://schemas.openxmlformats.org/drawingml/2006/picture">
                <pic:pic>
                  <pic:nvPicPr>
                    <pic:cNvPr id="0" name="figure1_tradeoff.png"/>
                    <pic:cNvPicPr/>
                  </pic:nvPicPr>
                  <pic:blipFill>
                    <a:blip r:embed="rId9"/>
                    <a:stretch>
                      <a:fillRect/>
                    </a:stretch>
                  </pic:blipFill>
                  <pic:spPr>
                    <a:xfrm>
                      <a:off x="0" y="0"/>
                      <a:ext cx="5486400" cy="3793281"/>
                    </a:xfrm>
                    <a:prstGeom prst="rect"/>
                  </pic:spPr>
                </pic:pic>
              </a:graphicData>
            </a:graphic>
          </wp:inline>
        </w:drawing>
      </w:r>
    </w:p>
    <w:p>
      <w:pPr>
        <w:spacing w:line="240" w:lineRule="auto"/>
      </w:pPr>
      <w:r>
        <w:rPr>
          <w:b/>
        </w:rPr>
        <w:t xml:space="preserve">Figure 1. </w:t>
      </w:r>
      <w:r>
        <w:t>Interpretability and performance trade-off surface, Dataset A. Each point is a swept (β, λ) configuration; the horizontal line marks the performance bar fixed before the sweep, and the starred point is the configuration selected on validation data.</w:t>
      </w:r>
    </w:p>
    <w:p/>
    <w:p>
      <w:pPr>
        <w:spacing w:before="240"/>
      </w:pPr>
      <w:r>
        <w:rPr>
          <w:i/>
          <w:sz w:val="24"/>
        </w:rPr>
        <w:t>4.2 Stability is a cost, not a benefit</w:t>
      </w:r>
    </w:p>
    <w:p>
      <w:r>
        <w:rPr>
          <w:b/>
        </w:rPr>
        <w:t>E3 is not supported.</w:t>
      </w:r>
      <w:r>
        <w:t xml:space="preserve"> Incumbent personas are markedly more stable across seeds than aligned ones. RFM+k-means reaches a cross-seed adjusted Rand index of 0.975 on Dataset A and 0.962 on Dataset B, and AE+k-means reaches 0.703 and 0.745, against 0.467 and 0.583 for CA-DVAE at its selected point. RFM's stability is unsurprising, since it clusters three deterministic features, and stability was never its weakness.</w:t>
      </w:r>
    </w:p>
    <w:p>
      <w:pPr>
        <w:jc w:val="center"/>
      </w:pPr>
      <w:r>
        <w:rPr>
          <w:b/>
        </w:rPr>
        <w:t>[Insert Table II about here]</w:t>
      </w:r>
    </w:p>
    <w:p>
      <w:r>
        <w:t xml:space="preserve">Two qualifications matter for practice. The first is a confound that makes naive stability comparisons meaningless. The </w:t>
      </w:r>
      <w:r>
        <w:rPr>
          <w:i/>
        </w:rPr>
        <w:t>most</w:t>
      </w:r>
      <w:r>
        <w:t xml:space="preserve"> stable configurations in both grids are the most collapsed ones, sitting at the worst downstream performance, because a near-degenerate assignment is trivially reproducible. Stability must therefore be read jointly with performance, never alone. Restricting to configurations within the selection slack of the best validation score, aligned personas reach parity with the neural incumbent (0.697 versus 0.703 on Dataset A; 0.725 versus 0.745 on Dataset B), while remaining far below the non-neural one. The second qualification is that strong alignment actively destabilises. The effect is non-monotone: moderate alignment improves stability over the unaligned ablation, and strong alignment degrades it.</w:t>
      </w:r>
    </w:p>
    <w:p>
      <w:pPr>
        <w:spacing w:before="240"/>
      </w:pPr>
      <w:r>
        <w:rPr>
          <w:i/>
          <w:sz w:val="24"/>
        </w:rPr>
        <w:t>4.3 Interpretability is a subspace, not a set of axes</w:t>
      </w:r>
    </w:p>
    <w:p>
      <w:r>
        <w:t xml:space="preserve">The alignment result this project had been reporting, construct R² up to 0.968, is produced by a linear read-out of the </w:t>
      </w:r>
      <w:r>
        <w:rPr>
          <w:i/>
        </w:rPr>
        <w:t>whole</w:t>
      </w:r>
      <w:r>
        <w:t xml:space="preserve"> aligned block. Testing whether individual axes are separable gives a different answer.</w:t>
      </w:r>
    </w:p>
    <w:p>
      <w:pPr>
        <w:jc w:val="center"/>
      </w:pPr>
      <w:r>
        <w:rPr>
          <w:b/>
        </w:rPr>
        <w:t>[Insert Table III about here]</w:t>
      </w:r>
    </w:p>
    <w:p>
      <w:pPr>
        <w:jc w:val="center"/>
      </w:pPr>
      <w:r>
        <w:drawing>
          <wp:inline xmlns:a="http://schemas.openxmlformats.org/drawingml/2006/main" xmlns:pic="http://schemas.openxmlformats.org/drawingml/2006/picture">
            <wp:extent cx="2450146" cy="6857998"/>
            <wp:docPr id="2" name="Picture 2"/>
            <wp:cNvGraphicFramePr>
              <a:graphicFrameLocks noChangeAspect="1"/>
            </wp:cNvGraphicFramePr>
            <a:graphic>
              <a:graphicData uri="http://schemas.openxmlformats.org/drawingml/2006/picture">
                <pic:pic>
                  <pic:nvPicPr>
                    <pic:cNvPr id="0" name="figure2_persona_cards.png"/>
                    <pic:cNvPicPr/>
                  </pic:nvPicPr>
                  <pic:blipFill>
                    <a:blip r:embed="rId10"/>
                    <a:stretch>
                      <a:fillRect/>
                    </a:stretch>
                  </pic:blipFill>
                  <pic:spPr>
                    <a:xfrm>
                      <a:off x="0" y="0"/>
                      <a:ext cx="2450146" cy="6857998"/>
                    </a:xfrm>
                    <a:prstGeom prst="rect"/>
                  </pic:spPr>
                </pic:pic>
              </a:graphicData>
            </a:graphic>
          </wp:inline>
        </w:drawing>
      </w:r>
    </w:p>
    <w:p>
      <w:pPr>
        <w:spacing w:line="240" w:lineRule="auto"/>
      </w:pPr>
      <w:r>
        <w:rPr>
          <w:b/>
        </w:rPr>
        <w:t xml:space="preserve">Figure 2. </w:t>
      </w:r>
      <w:r>
        <w:t>Latent traversals along each best-aligned dimension, Dataset A, showing standardised feature deltas with raw-unit changes annotated. To be read alongside Section 4.3: these directions are interpretable in appearance but are not construct-pure.</w:t>
      </w:r>
    </w:p>
    <w:p/>
    <w:p>
      <w:r>
        <w:rPr>
          <w:b/>
        </w:rPr>
        <w:t>E2 splits: supported at block level, not supported at axis level.</w:t>
      </w:r>
      <w:r>
        <w:t xml:space="preserve"> The failure is not the side-channel leakage documented by Mahinpei </w:t>
      </w:r>
      <w:r>
        <w:rPr>
          <w:i/>
        </w:rPr>
        <w:t>et al.</w:t>
      </w:r>
      <w:r>
        <w:t xml:space="preserve"> (2021), since the constructs remain inside the aligned block. It is </w:t>
      </w:r>
      <w:r>
        <w:rPr>
          <w:i/>
        </w:rPr>
        <w:t>within-block entanglement</w:t>
      </w:r>
      <w:r>
        <w:t xml:space="preserve">: the block encodes the constructs as a distributed code rather than as separated directions. The practical consequence is direct. A persona card built by moving one latent dimension is moving a direction that mixes several constructs, so its apparent interpretability is weaker evidence than it looks. The defensible claim is a </w:t>
      </w:r>
      <w:r>
        <w:rPr>
          <w:b/>
        </w:rPr>
        <w:t>named subspace</w:t>
      </w:r>
      <w:r>
        <w:t>, not named axes.</w:t>
      </w:r>
    </w:p>
    <w:p>
      <w:r>
        <w:t xml:space="preserve">A related methodological caution concerns the Mutual Information Gap. Its gap term is designed to reward compactness: Chen </w:t>
      </w:r>
      <w:r>
        <w:rPr>
          <w:i/>
        </w:rPr>
        <w:t>et al.</w:t>
      </w:r>
      <w:r>
        <w:t xml:space="preserve"> (2018) define it so that a factor captured by one latent scores highly, and explicitly so that it penalises the case where latents other than the winner also encode that factor. Construct alignment does the opposite by design, spreading each construct across an aligned block. On Dataset B, MIG is accordingly highest with alignment switched off and falls as alignment strengthens, and selecting on it chose a model with no named axes at all.</w:t>
      </w:r>
    </w:p>
    <w:p>
      <w:r>
        <w:t xml:space="preserve">This is not a claim that the metric is broken, and it is narrower than the finding that correlated factors degrade disentanglement generally (Träuble </w:t>
      </w:r>
      <w:r>
        <w:rPr>
          <w:i/>
        </w:rPr>
        <w:t>et al.</w:t>
      </w:r>
      <w:r>
        <w:t xml:space="preserve">, 2021). Chen </w:t>
      </w:r>
      <w:r>
        <w:rPr>
          <w:i/>
        </w:rPr>
        <w:t>et al.</w:t>
      </w:r>
      <w:r>
        <w:t xml:space="preserve"> themselves report that disentanglement remains achievable when factors are sampled dependently. The point is that MIG's objective and construct-subspace alignment are different goals, and in this setting they point in opposite directions, so MIG should not be the sole selection criterion when the named constructs are correlated.</w:t>
      </w:r>
    </w:p>
    <w:p>
      <w:pPr>
        <w:spacing w:before="240"/>
      </w:pPr>
      <w:r>
        <w:rPr>
          <w:i/>
          <w:sz w:val="24"/>
        </w:rPr>
        <w:t>4.4 The decisive control: interpretability without training</w:t>
      </w:r>
    </w:p>
    <w:p>
      <w:r>
        <w:t>Because the constructs are deterministic functions of the features, a representation with genuinely named axes is available with no training at all. Use the constructs as coordinates, and append principal components of the residual for the capacity they lack. This control has alignment R² = 1 and perfect axis purity by construction, which is precisely the property CA-DVAE claims and, per Section 4.3, does not deliver.</w:t>
      </w:r>
    </w:p>
    <w:p>
      <w:pPr>
        <w:jc w:val="center"/>
      </w:pPr>
      <w:r>
        <w:rPr>
          <w:b/>
        </w:rPr>
        <w:t>[Insert Table IV about here]</w:t>
      </w:r>
    </w:p>
    <w:p>
      <w:pPr>
        <w:jc w:val="center"/>
      </w:pPr>
      <w:r>
        <w:rPr>
          <w:b/>
        </w:rPr>
        <w:t>[Insert Table V about here]</w:t>
      </w:r>
    </w:p>
    <w:p>
      <w:r>
        <w:t xml:space="preserve">The control is ahead on five of six seeds, but the difference is not statistically distinguishable at this sample size. The correct conclusion is not that the simple control wins. It is that </w:t>
      </w:r>
      <w:r>
        <w:rPr>
          <w:b/>
        </w:rPr>
        <w:t>a 144-run sweep over a neural architecture fails to demonstrate any advantage over a representation obtained in closed form from the same features</w:t>
      </w:r>
      <w:r>
        <w:t>, on the dataset where the alignment mechanism performs best, while the control strictly dominates it on the interpretability property both are competing on.</w:t>
      </w:r>
    </w:p>
    <w:p>
      <w:r>
        <w:t xml:space="preserve">One finding runs the other way and is robust. Constructs </w:t>
      </w:r>
      <w:r>
        <w:rPr>
          <w:i/>
        </w:rPr>
        <w:t>alone</w:t>
      </w:r>
      <w:r>
        <w:t xml:space="preserve"> reach only 0.4129, far below the same constructs with a residual block (</w:t>
      </w:r>
      <w:r>
        <w:rPr>
          <w:i/>
        </w:rPr>
        <w:t>d_z</w:t>
      </w:r>
      <w:r>
        <w:t xml:space="preserve"> = 5.46, significant after correction). Interpretable coordinates alone are insufficient, and free capacity alongside them does necessary work. That supports the aligned/free decomposition, though not the neural machinery used to obtain it.</w:t>
      </w:r>
    </w:p>
    <w:p>
      <w:pPr>
        <w:spacing w:before="240"/>
      </w:pPr>
      <w:r>
        <w:rPr>
          <w:i/>
          <w:sz w:val="24"/>
        </w:rPr>
        <w:t>4.5 Where alignment does pay</w:t>
      </w:r>
    </w:p>
    <w:p>
      <w:r>
        <w:t>A single global bar would misrepresent this comparison, because no baseline wins every task. On the behavioural dataset RFM wins purchase prediction, the autoencoder wins dormancy, and autoencoder-based personas win next-category prediction, so each task is judged against its own strongest competitor.</w:t>
      </w:r>
    </w:p>
    <w:p>
      <w:r>
        <w:t>Against those bars, the aligned model wins dormancy prediction in both test families (PR-AUC 0.8632 versus 0.8620). Because a marketing team acts on a ranked list rather than on an area statistic, we also report the win at a fixed operating point: precision within the top 10% of the ranked list is 0.9312 against the baseline's 0.9300, which is twelve additional dormant customers identified per ten thousand contacted at that depth. The effect is tight across seeds and genuinely small, and we report it at exactly that size rather than as evidence of general superiority. Next-category prediction is a loss rather than a parity: the seed-to-seed instability observed in the unregularised autoencoder on that task is not cured by construct anchoring.</w:t>
      </w:r>
    </w:p>
    <w:p>
      <w:r>
        <w:t>Two results support the design rather than the model. The twelve aligned dimensions alone carry as much downstream signal as the autoencoder's entire unnamed embedding, and on the survey dataset the aligned block alone beats raw RFM, so the named subspace is predictively load-bearing rather than a label attached to a black box. Separately, RFM, dominant on purchase prediction, collapses to below base rate on next-category prediction. It contains no category information at all, and stability does not compensate for a representation that lacks information relevant to the prediction task. Where a persona scheme must carry category structure, a learned representation remains necessary.</w:t>
      </w:r>
    </w:p>
    <w:p>
      <w:r>
        <w:t>The shape of the trade-off surface is also practically informative. It is smooth rather than a cliff. On the survey dataset a weakly aligned configuration reaches the PCA bar almost exactly, but with construct alignment of only R² ≈ 0.35. The lift lost to alignment is recoverable precisely by giving up the naming, which is the trade-off in its most direct form.</w:t>
      </w:r>
    </w:p>
    <w:p>
      <w:pPr>
        <w:spacing w:before="240"/>
      </w:pPr>
      <w:r>
        <w:rPr>
          <w:i/>
          <w:sz w:val="24"/>
        </w:rPr>
        <w:t>4.6 Which component is doing the work</w:t>
      </w:r>
    </w:p>
    <w:p>
      <w:r>
        <w:t xml:space="preserve">Both components can be switched off as configuration points. Removing alignment entirely gives the best-performing region on the behavioural dataset, and produces no named constructs at all, which is precisely the trade-off this study exists to price. Retaining alignment while removing the extra disentanglement pressure is dominated on both datasets by configurations with weaker disentanglement, consistent with the finding that informativeness rather than dimension-wise independence drives downstream performance (Nai </w:t>
      </w:r>
      <w:r>
        <w:rPr>
          <w:i/>
        </w:rPr>
        <w:t>et al.</w:t>
      </w:r>
      <w:r>
        <w:t>, 2024).</w:t>
      </w:r>
    </w:p>
    <w:p>
      <w:r>
        <w:t xml:space="preserve">Neither component is decoration, since each changes the measured outcome and each has its own ablation. But the direction is unflattering to the design. The alignment component reduces primary predictive lift in this evaluation while supplying the interpretability the study is about, and the disentanglement component costs lift without a compensating measured benefit in this setting. Read alongside Section 4.4, the summary is that the aligned/free </w:t>
      </w:r>
      <w:r>
        <w:rPr>
          <w:i/>
        </w:rPr>
        <w:t>structure</w:t>
      </w:r>
      <w:r>
        <w:t xml:space="preserve"> is worth keeping and that the neural machinery used to obtain it does not demonstrate a measurable advantage in this setting.</w:t>
      </w:r>
    </w:p>
    <w:p>
      <w:pPr>
        <w:spacing w:before="240"/>
      </w:pPr>
      <w:r>
        <w:rPr>
          <w:b/>
          <w:sz w:val="24"/>
        </w:rPr>
        <w:t>5. Discussion and managerial implications</w:t>
      </w:r>
    </w:p>
    <w:p>
      <w:r>
        <w:rPr>
          <w:b/>
        </w:rPr>
        <w:t>Interpretability has a price, and this study quantifies it.</w:t>
      </w:r>
      <w:r>
        <w:t xml:space="preserve"> Named construct structure at block-level R² ≈ 0.97 costs roughly 0.055 PR-AUC against PCA on survey data, 0.016 against RFM on behavioural data, and a substantial adjusted-Rand stability gap relative to the non-neural incumbent. A manager can now make that trade explicitly rather than assuming it away.</w:t>
      </w:r>
    </w:p>
    <w:p>
      <w:r>
        <w:rPr>
          <w:b/>
        </w:rPr>
        <w:t>Choose the representation by the job.</w:t>
      </w:r>
      <w:r>
        <w:t xml:space="preserve"> For ranking customers by purchase propensity, use RFM: more accurate, more stable, free, and requiring no specialist infrastructure. For persona schemes that must express category structure, which RFM cannot represent at all, a learned representation is necessary. For maximum accuracy irrespective of explanation, use the raw feature vector with a tree-based model, since the ceiling sits above every representation tested. And if the goal is </w:t>
      </w:r>
      <w:r>
        <w:rPr>
          <w:i/>
        </w:rPr>
        <w:t>interpretable coordinates</w:t>
      </w:r>
      <w:r>
        <w:t>, construct them directly: our control obtained them with no training, no GPU and no measurable loss of lift relative to the neural model.</w:t>
      </w:r>
    </w:p>
    <w:p>
      <w:r>
        <w:rPr>
          <w:b/>
        </w:rPr>
        <w:t>Do not buy a neural model for interpretability alone.</w:t>
      </w:r>
      <w:r>
        <w:t xml:space="preserve"> Interpretability was the stated motivation for construct alignment, and it is precisely where the neural approach was matched by arithmetic on features the organisation already holds.</w:t>
      </w:r>
    </w:p>
    <w:p>
      <w:r>
        <w:rPr>
          <w:b/>
        </w:rPr>
        <w:t>Implications for segmentation research.</w:t>
      </w:r>
      <w:r>
        <w:t xml:space="preserve"> The pattern across Table I is consistent enough to be worth stating as a caution to the field: under leakage-safe evaluation on held-out future behaviour, the more elaborate the pipeline, the worse it performed. Deep embedded clustering and autoencoder-plus-k-means personas, the two approaches most commonly proposed as improvements on RFM, were the weakest representations tested on both datasets. This does not show that neural segmentation cannot work. It shows that the evidence usually offered for it, internal cluster indices on a single run, cannot distinguish a representation that predicts behaviour from one that does not. Studies proposing new segmentation methods should report held-out predictive validation against a non-neural incumbent, with repeated estimation, as a matter of course.</w:t>
      </w:r>
    </w:p>
    <w:p>
      <w:r>
        <w:rPr>
          <w:b/>
        </w:rPr>
        <w:t>Budget the evaluation, not just the model.</w:t>
      </w:r>
      <w:r>
        <w:t xml:space="preserve"> The costly mistake available to an organisation here is choosing without measurement and then being unable to tell which choice was right. Every result in this study came from infrastructure that is modest by modern standards, with the entire experimental programme including 288 sweep runs consuming under nine GPU-hours. The measurement discipline that produced the findings costs nothing but protocol: hold the representation out of the labels, repeat across seeds, fix the bar before running the proposed method, and report the comparison you specified in advance rather than the one that looks best afterwards. An organisation that adopts the protocol and none of the models is still better placed than one that adopts a persona scheme on narrative appeal.</w:t>
      </w:r>
    </w:p>
    <w:p>
      <w:r>
        <w:rPr>
          <w:b/>
        </w:rPr>
        <w:t>Two cautions for anyone evaluating personas.</w:t>
      </w:r>
      <w:r>
        <w:t xml:space="preserve"> Never report stability without performance. The most reproducible segmentations in both our grids were the most degenerate, and a segmentation that always returns the same answer because it has stopped discriminating is worse than an unstable one. Second, do not accept an aggregate alignment score as evidence that a dimension is nameable. The two questions come apart, as Section 4.3 shows, and only the second supports a persona card shown to a marketing team.</w:t>
      </w:r>
    </w:p>
    <w:p>
      <w:pPr>
        <w:spacing w:before="240"/>
      </w:pPr>
      <w:r>
        <w:rPr>
          <w:b/>
          <w:sz w:val="24"/>
        </w:rPr>
        <w:t>6. Limitations and further research</w:t>
      </w:r>
    </w:p>
    <w:p>
      <w:r>
        <w:t>The two controls of Sections 4.3 and 4.4 have been run on Dataset A only. The behavioural dataset's seventeen correlated construct targets make within-block entanglement more likely there rather than less, and completing those runs is the first priority. One construction detail is fixed in advance for that replication: because those seventeen targets exceed the sixteen-dimensional latent budget, the control there carries all seventeen named axes plus four residual components, so that it retains the free capacity Section 4.4 shows is necessary rather than collapsing onto the constructs alone. Six seeds cannot support familywise-corrected Wilcoxon claims, as stated in Section 3. Dataset B covers a single two-month window treated as one population, so no claim is made about performance under distribution shift. Dataset A's test split is small at 448 rows, which makes PR-AUC genuinely variable. The price-sensitivity construct on Dataset B measures browsed price tier rather than discount responsiveness, because the log carries no discount field.</w:t>
      </w:r>
    </w:p>
    <w:p>
      <w:r>
        <w:t xml:space="preserve">The most valuable extension follows from Section 2. This study measures stochastic reproducibility, while Jansen </w:t>
      </w:r>
      <w:r>
        <w:rPr>
          <w:i/>
        </w:rPr>
        <w:t>et al.</w:t>
      </w:r>
      <w:r>
        <w:t xml:space="preserve"> (2021) show that temporal change is where data-driven personas actually fail. Measuring both properties on the same representations, reproducible today and still valid next quarter, is the natural next study.</w:t>
      </w:r>
    </w:p>
    <w:p>
      <w:pPr>
        <w:spacing w:before="240"/>
      </w:pPr>
      <w:r>
        <w:rPr>
          <w:b/>
          <w:sz w:val="24"/>
        </w:rPr>
        <w:t>7. Conclusion</w:t>
      </w:r>
    </w:p>
    <w:p>
      <w:r>
        <w:t>This paper replaces an unmeasured marketing artefact with three falsifiable measurements and reports what they say. Of the three properties the study set out to establish, none held in the form originally stated. The representation did not beat incumbents on lift, its named structure proved to be a subspace rather than the individual axes the design anticipated, and its personas were less stable than the incumbents'. The interpretability being purchased is real but narrower than claimed: a named subspace rather than named axes, and one a closed-form control obtains without training or measurable loss in lift. For practice, the finding is usable immediately. Incumbent representations are hard to beat, interpretable coordinates are cheap to construct directly, and the cost of an interpretable persona is now a number rather than an assumption.</w:t>
      </w:r>
    </w:p>
    <w:p>
      <w:r>
        <w:rPr>
          <w:b/>
        </w:rPr>
        <w:t>Data and code availability.</w:t>
      </w:r>
      <w:r>
        <w:t xml:space="preserve"> Both datasets are publicly available. All configurations, seeds and analysis code are archived in a repository that will be made public on acceptance; reported results reproduce bit-exactly from the committed configurations and seeds. The repository link is withheld here to preserve double-anonymous review.</w:t>
      </w:r>
    </w:p>
    <w:p>
      <w:r>
        <w:rPr>
          <w:b/>
        </w:rPr>
        <w:t>Generative AI disclosure.</w:t>
      </w:r>
      <w:r>
        <w:t xml:space="preserve"> Generative AI (Claude, Anthropic) was used in this work, and its use is declared here and at submission. Research direction, the study design and every consequential methodological decision were made by the author and are recorded individually in a project decision log. No AI tool is credited with authorship, and accountability for the integrity, originality and validity of this work rests with the author. No statistic reported here was produced or estimated by a language model: every figure was computed by executed code on real data and logged to a configuration-hashed run record, and all reported values reproduce bit-exactly from the committed configurations and seeds. No figure is AI-generated, and no personal or sensitive data was submitted to any AI platform.</w:t>
      </w:r>
    </w:p>
    <w:p>
      <w:pPr>
        <w:spacing w:before="240"/>
      </w:pPr>
      <w:r>
        <w:rPr>
          <w:b/>
          <w:sz w:val="24"/>
        </w:rPr>
        <w:t>References</w:t>
      </w:r>
    </w:p>
    <w:p>
      <w:r>
        <w:t xml:space="preserve">Boussebough, I., Zarour, K., Aouabdia, C. and Boutina, D.S. (2026), "Multi-view customer segmentation in the digital economy: balancing performance and interpretability for actionable insights", </w:t>
      </w:r>
      <w:r>
        <w:rPr>
          <w:i/>
        </w:rPr>
        <w:t>Journal of Telecommunications and the Digital Economy</w:t>
      </w:r>
      <w:r>
        <w:t>, Vol. 14 No. 2, pp.58-83.</w:t>
      </w:r>
    </w:p>
    <w:p>
      <w:r>
        <w:t xml:space="preserve">Chen, R.T.Q., Li, X., Grosse, R. and Duvenaud, D. (2018), "Isolating sources of disentanglement in variational autoencoders", </w:t>
      </w:r>
      <w:r>
        <w:rPr>
          <w:i/>
        </w:rPr>
        <w:t>Advances in Neural Information Processing Systems</w:t>
      </w:r>
      <w:r>
        <w:t>.</w:t>
      </w:r>
    </w:p>
    <w:p>
      <w:r>
        <w:t xml:space="preserve">Dolnicar, S. and Leisch, F. (2010), "Evaluation of structure and reproducibility of cluster solutions using the bootstrap", </w:t>
      </w:r>
      <w:r>
        <w:rPr>
          <w:i/>
        </w:rPr>
        <w:t>Marketing Letters</w:t>
      </w:r>
      <w:r>
        <w:t>, Vol. 21 No. 1, pp.83-101.</w:t>
      </w:r>
    </w:p>
    <w:p>
      <w:r>
        <w:t xml:space="preserve">Grigorova, I., Efremov, A.S. and Karamfilov, A. (2025), "An automated machine learning framework for interpretable customer segmentation in financial services", </w:t>
      </w:r>
      <w:r>
        <w:rPr>
          <w:i/>
        </w:rPr>
        <w:t>International Journal of Financial Studies</w:t>
      </w:r>
      <w:r>
        <w:t>, Vol. 13 No. 4, art. 243.</w:t>
      </w:r>
    </w:p>
    <w:p>
      <w:r>
        <w:t xml:space="preserve">Grinsztajn, L., Oyallon, E. and Varoquaux, G. (2022), "Why do tree-based models still outperform deep learning on tabular data?", </w:t>
      </w:r>
      <w:r>
        <w:rPr>
          <w:i/>
        </w:rPr>
        <w:t>Advances in Neural Information Processing Systems, Datasets and Benchmarks Track</w:t>
      </w:r>
      <w:r>
        <w:t>.</w:t>
      </w:r>
    </w:p>
    <w:p>
      <w:r>
        <w:t xml:space="preserve">Higgins, I., Matthey, L., Pal, A., Burgess, C., Glorot, X., Botvinick, M., Mohamed, S. and Lerchner, A. (2017), "β-VAE: learning basic visual concepts with a constrained variational framework", </w:t>
      </w:r>
      <w:r>
        <w:rPr>
          <w:i/>
        </w:rPr>
        <w:t>International Conference on Learning Representations</w:t>
      </w:r>
      <w:r>
        <w:t>.</w:t>
      </w:r>
    </w:p>
    <w:p>
      <w:r>
        <w:t xml:space="preserve">Holm, S. (1979), "A simple sequentially rejective multiple test procedure", </w:t>
      </w:r>
      <w:r>
        <w:rPr>
          <w:i/>
        </w:rPr>
        <w:t>Scandinavian Journal of Statistics</w:t>
      </w:r>
      <w:r>
        <w:t>, Vol. 6 No. 2, pp.65-70.</w:t>
      </w:r>
    </w:p>
    <w:p>
      <w:r>
        <w:t xml:space="preserve">Hsu, P.-F., Lu, Y.-H., Chen, S.-C. and Kuo, P.-Y. (2023), "Creating and validating predictive personas for target marketing", </w:t>
      </w:r>
      <w:r>
        <w:rPr>
          <w:i/>
        </w:rPr>
        <w:t>International Journal of Human-Computer Studies</w:t>
      </w:r>
      <w:r>
        <w:t>, Vol. 181, art. 103147.</w:t>
      </w:r>
    </w:p>
    <w:p>
      <w:r>
        <w:t xml:space="preserve">Hubert, L. and Arabie, P. (1985), "Comparing partitions", </w:t>
      </w:r>
      <w:r>
        <w:rPr>
          <w:i/>
        </w:rPr>
        <w:t>Journal of Classification</w:t>
      </w:r>
      <w:r>
        <w:t>, Vol. 2 No. 1, pp.193-218.</w:t>
      </w:r>
    </w:p>
    <w:p>
      <w:r>
        <w:t xml:space="preserve">Hughes, A.M. (1994), </w:t>
      </w:r>
      <w:r>
        <w:rPr>
          <w:i/>
        </w:rPr>
        <w:t>Strategic Database Marketing</w:t>
      </w:r>
      <w:r>
        <w:t>, Probus, Chicago, IL.</w:t>
      </w:r>
    </w:p>
    <w:p>
      <w:r>
        <w:t xml:space="preserve">Jansen, B.J., Jung, S., Chowdhury, S.A. and Salminen, J. (2021), "Persona analytics: analyzing the stability of online segments and content interests over time using non-negative matrix factorization", </w:t>
      </w:r>
      <w:r>
        <w:rPr>
          <w:i/>
        </w:rPr>
        <w:t>Expert Systems with Applications</w:t>
      </w:r>
      <w:r>
        <w:t>, Vol. 185, art. 115611.</w:t>
      </w:r>
    </w:p>
    <w:p>
      <w:r>
        <w:t xml:space="preserve">Kingma, D.P. and Welling, M. (2014), "Auto-encoding variational Bayes", </w:t>
      </w:r>
      <w:r>
        <w:rPr>
          <w:i/>
        </w:rPr>
        <w:t>International Conference on Learning Representations</w:t>
      </w:r>
      <w:r>
        <w:t>.</w:t>
      </w:r>
    </w:p>
    <w:p>
      <w:r>
        <w:t xml:space="preserve">Koh, P.W., Nguyen, T., Tang, Y.S., Mussmann, S., Pierson, E., Kim, B. and Liang, P. (2020), "Concept bottleneck models", </w:t>
      </w:r>
      <w:r>
        <w:rPr>
          <w:i/>
        </w:rPr>
        <w:t>Proceedings of the 37th International Conference on Machine Learning</w:t>
      </w:r>
      <w:r>
        <w:t>, PMLR 119, pp.5338-5348.</w:t>
      </w:r>
    </w:p>
    <w:p>
      <w:r>
        <w:t xml:space="preserve">Kumar, A., Sattigeri, P. and Balakrishnan, A. (2018), "Variational inference of disentangled latent concepts from unlabeled observations", </w:t>
      </w:r>
      <w:r>
        <w:rPr>
          <w:i/>
        </w:rPr>
        <w:t>International Conference on Learning Representations</w:t>
      </w:r>
      <w:r>
        <w:t>.</w:t>
      </w:r>
    </w:p>
    <w:p>
      <w:r>
        <w:t xml:space="preserve">Locatello, F., Bauer, S., Lucic, M., Rätsch, G., Gelly, S., Schölkopf, B. and Bachem, O. (2019), "Challenging common assumptions in the unsupervised learning of disentangled representations", </w:t>
      </w:r>
      <w:r>
        <w:rPr>
          <w:i/>
        </w:rPr>
        <w:t>Proceedings of the 36th International Conference on Machine Learning</w:t>
      </w:r>
      <w:r>
        <w:t>, PMLR 97, pp.4114-4124.</w:t>
      </w:r>
    </w:p>
    <w:p>
      <w:r>
        <w:t>Mahinpei, A., Clark, J., Lage, I., Doshi-Velez, F. and Pan, W. (2021), "Promises and pitfalls of black-box concept learning models", arXiv:2106.13314.</w:t>
      </w:r>
    </w:p>
    <w:p>
      <w:r>
        <w:t>Mancisidor, R.A., Kampffmeyer, M., Aas, K. and Jenssen, R. (2019), "Learning latent representations of bank customers with the variational autoencoder", arXiv:1903.06580.</w:t>
      </w:r>
    </w:p>
    <w:p>
      <w:r>
        <w:t>Margeloiu, A., Ashman, M., Bhatt, U., Chen, Y., Jamnik, M. and Weller, A. (2021), "Do concept bottleneck models learn as intended?", arXiv:2105.04289.</w:t>
      </w:r>
    </w:p>
    <w:p>
      <w:r>
        <w:t xml:space="preserve">Nai, R., Wen, Z., Li, J., Li, Y. and Gao, Y. (2024), "Revisiting disentanglement in downstream tasks: a study on its necessity for abstract visual reasoning", </w:t>
      </w:r>
      <w:r>
        <w:rPr>
          <w:i/>
        </w:rPr>
        <w:t>AAAI Conference on Artificial Intelligence</w:t>
      </w:r>
      <w:r>
        <w:t>.</w:t>
      </w:r>
    </w:p>
    <w:p>
      <w:r>
        <w:t xml:space="preserve">Salminen, J., Guan, K., Jung, S.G. and Jansen, B.J. (2021), "A survey of 15 years of data-driven persona development", </w:t>
      </w:r>
      <w:r>
        <w:rPr>
          <w:i/>
        </w:rPr>
        <w:t>International Journal of Human-Computer Interaction</w:t>
      </w:r>
      <w:r>
        <w:t>, Vol. 37 No. 18, pp.1685-1708.</w:t>
      </w:r>
    </w:p>
    <w:p>
      <w:r>
        <w:t xml:space="preserve">Sawada, Y. and Nakamura, K. (2022), "Concept bottleneck model with additional unsupervised concepts", </w:t>
      </w:r>
      <w:r>
        <w:rPr>
          <w:i/>
        </w:rPr>
        <w:t>IEEE Access</w:t>
      </w:r>
      <w:r>
        <w:t>.</w:t>
      </w:r>
    </w:p>
    <w:p>
      <w:r>
        <w:t xml:space="preserve">Träuble, F., Creager, E., Kilbertus, N., Locatello, F., Dittadi, A., Goyal, A., Schölkopf, B. and Bauer, S. (2021), "On disentangled representations learned from correlated data", </w:t>
      </w:r>
      <w:r>
        <w:rPr>
          <w:i/>
        </w:rPr>
        <w:t>Proceedings of the 38th International Conference on Machine Learning</w:t>
      </w:r>
      <w:r>
        <w:t>, PMLR 139, pp.10401-10412.</w:t>
      </w:r>
    </w:p>
    <w:p>
      <w:r>
        <w:t xml:space="preserve">Xie, J., Girshick, R. and Farhadi, A. (2016), "Unsupervised deep embedding for clustering analysis", </w:t>
      </w:r>
      <w:r>
        <w:rPr>
          <w:i/>
        </w:rPr>
        <w:t>Proceedings of the 33rd International Conference on Machine Learning</w:t>
      </w:r>
      <w:r>
        <w:t>, PMLR 48, pp.478-487.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