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pPr>
        <w:jc w:val="center"/>
      </w:pPr>
      <w:r>
        <w:rPr>
          <w:i w:val="0"/>
          <w:sz w:val="22"/>
        </w:rPr>
        <w:t>Vittal Muku</w:t>
      </w:r>
    </w:p>
    <w:p>
      <w:pPr>
        <w:jc w:val="center"/>
      </w:pPr>
      <w:r>
        <w:rPr>
          <w:i/>
          <w:sz w:val="22"/>
        </w:rPr>
        <w:t>Independent Research</w:t>
      </w:r>
    </w:p>
    <w:p>
      <w:pPr>
        <w:jc w:val="center"/>
      </w:pPr>
      <w:r>
        <w:rPr>
          <w:i w:val="0"/>
          <w:sz w:val="22"/>
        </w:rPr>
        <w:t>vittal.muku@gmail.com</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names persona evaluation as an open gap. Existing predictive validation reduces persona quality to a single accuracy figure, which cannot express what is given up to obtain interpretability. This paper asks what an interpretable persona costs.</w:t>
      </w:r>
    </w:p>
    <w:p>
      <w:r>
        <w:rPr>
          <w:b/>
        </w:rPr>
        <w:t>Design/methodology/approach.</w:t>
      </w:r>
      <w:r>
        <w:t xml:space="preserve"> Persona quality is reformulated as three falsifiable properties: predictive lift on held-out behaviour, construct alignment, and stability across repeated estimation. Nine representations, including RFM, PCA, autoencoders and a construct-aligned variational autoencoder, are compared on two public datasets (2,240 customers; 2.55 million users from 110 million events), plus two construct-based controls. All use a frozen- representation protocol with automated leakage guards, six seeds, and bars fixed in advance.</w:t>
      </w:r>
    </w:p>
    <w:p>
      <w:r>
        <w:rPr>
          <w:b/>
        </w:rPr>
        <w:t>Findings.</w:t>
      </w:r>
      <w:r>
        <w:t xml:space="preserve"> Non-neural incumbents set the strongest bars; the construct-aligned model falls below both and yields less stable personas. On the survey dataset, two controls sharpen this: alignment is a subspace property rather than one of individual named axes, and a zero- training representation built from the constructs achieves comparable measured lift with perfect axis purity.</w:t>
      </w:r>
    </w:p>
    <w:p>
      <w:r>
        <w:rPr>
          <w:b/>
        </w:rPr>
        <w:t>Practical implications.</w:t>
      </w:r>
      <w:r>
        <w:t xml:space="preserve"> Managers can price interpretability rather than assume it. For ranking customers by purchase propensity, RFM remains more accurate and more stable at no cost. Where interpretable coordinates are the goal, they can be built directly from existing features, without a neural model.</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 to 0.70</w:t>
            </w:r>
          </w:p>
        </w:tc>
        <w:tc>
          <w:tcPr>
            <w:tcW w:type="dxa" w:w="2880"/>
          </w:tcPr>
          <w:p>
            <w:pPr>
              <w:spacing w:after="0" w:line="240" w:lineRule="auto"/>
            </w:pPr>
            <w:r>
              <w:rPr>
                <w:sz w:val="18"/>
              </w:rPr>
              <w:t>0.58 to 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and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 to 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minus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so this is not side-channel leakage</w:t>
            </w:r>
          </w:p>
        </w:tc>
      </w:tr>
    </w:tbl>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concerns the Mutual Information Gap. Its gap term is designed to reward compactness: Chen </w:t>
      </w:r>
      <w:r>
        <w:rPr>
          <w:i/>
        </w:rPr>
        <w:t>et al.</w:t>
      </w:r>
      <w:r>
        <w:t xml:space="preserve"> (2018) define it so that a factor captured by one latent scores highly, and explicitly so that it penalises the case where latents other than the winner also encode that factor. Construct alignment does the opposite by design, spreading each construct across an aligned block. On Dataset B, MIG is accordingly highest with alignment switched off and falls as alignment strengthens, and selecting on it chose a model with no named axes at all.</w:t>
      </w:r>
    </w:p>
    <w:p>
      <w:r>
        <w:t xml:space="preserve">This is not a claim that the metric is broken, and it is narrower than the finding that correlated factors degrade disentanglement generally (Träuble </w:t>
      </w:r>
      <w:r>
        <w:rPr>
          <w:i/>
        </w:rPr>
        <w:t>et al.</w:t>
      </w:r>
      <w:r>
        <w:t xml:space="preserve">, 2021). Chen </w:t>
      </w:r>
      <w:r>
        <w:rPr>
          <w:i/>
        </w:rPr>
        <w:t>et al.</w:t>
      </w:r>
      <w:r>
        <w:t xml:space="preserve"> themselves report that disentanglement remains achievable when factors are sampled dependently. The point is that MIG's objective and construct-subspace alignment are different goals, and in this setting they point in opposite directions, so MIG should not be the sole selection criterion when the named constructs are correlated.</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minus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minus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One construction detail is fixed in advance for that replication: because those seventeen targets exceed the sixteen-dimensional latent budget, the control there carries all seventeen named axes plus four residual components, so that it retains the free capacity Section 4.4 shows is necessary rather than collapsing onto the constructs alone.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at https://github.com/Vittal-Mukunda/measurable-buyer-personas; reported results reproduce bit-exactly from the committed configurations and seeds.</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Proceedings of the 37th International Conference on Machine Learning</w:t>
      </w:r>
      <w:r>
        <w:t>, PMLR 119, pp.5338-5348.</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Proceedings of the 36th International Conference on Machine Learning</w:t>
      </w:r>
      <w:r>
        <w:t>, PMLR 97, pp.4114-4124.</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Proceedings of the 38th International Conference on Machine Learning</w:t>
      </w:r>
      <w:r>
        <w:t>, PMLR 139, pp.10401-10412.</w:t>
      </w:r>
    </w:p>
    <w:p>
      <w:r>
        <w:t xml:space="preserve">Xie, J., Girshick, R. and Farhadi, A. (2016), "Unsupervised deep embedding for clustering analysis", </w:t>
      </w:r>
      <w:r>
        <w:rPr>
          <w:i/>
        </w:rPr>
        <w:t>Proceedings of the 33rd International Conference on Machine Learning</w:t>
      </w:r>
      <w:r>
        <w:t>, PMLR 48,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