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Persona quality is reformulated as three separately falsifiable properties: predictive lift on held-out future behaviour, alignment with named marketing constructs, and stability across repeated estimation. Nine representations, including RFM, PCA, autoencoders and a construct-aligned variational autoencoder, are compared on two public datasets (2,240 customers; 2.55 million users from 110 million events), with two further construct-based controls on the first. All are evaluated under a frozen-representation protocol with leakage guards enforced by automated tests, six seeds per result, performance bars fixed before the proposed-model sweep, and familywise correction.</w:t>
      </w:r>
    </w:p>
    <w:p>
      <w:r>
        <w:rPr>
          <w:b/>
        </w:rPr>
        <w:t>Findings.</w:t>
      </w:r>
      <w:r>
        <w:t xml:space="preserve"> Interpretability is costly and the cost is measurable. Non-neural incumbents set the strongest bars; the construct-aligned model falls below both and yields markedly less stable personas. On the survey dataset, two controls sharpen the result: alignment is a property of a latent subspace rather than of individual named axes, and a zero-training representation built directly from the constructs achieves comparable measured lift while holding perfect axis purity by construction.</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jc w:val="center"/>
      </w:pPr>
      <w:r>
        <w:rPr>
          <w:b/>
        </w:rPr>
        <w:t>[Insert Table II about here]</w:t>
      </w:r>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is that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