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 Buyer personas direct substantial marketing expenditure, yet the field's own survey of data-driven persona development names evaluation as an open gap. Existing predictive validation reduces persona quality to a single accuracy figure, which cannot express what is sacrificed to obtain the interpretability practitioners choose personas for. This paper asks what an interpretable persona costs.</w:t>
      </w:r>
    </w:p>
    <w:p>
      <w:r>
        <w:rPr>
          <w:b/>
        </w:rPr>
        <w:t>Design/methodology/approach</w:t>
      </w:r>
      <w:r>
        <w:t xml:space="preserve"> — Persona quality is reformulated as three separately falsifiable properties: predictive lift on held-out future behaviour, alignment with named marketing constructs, and stability across repeated estimation. Eleven representations, including RFM, PCA, autoencoders and a construct-aligned variational autoencoder, are compared under a frozen-representation protocol on two public datasets (2,240 customers; 2.55 million users from 110 million events), with leakage guards enforced by automated tests, six seeds per result, performance bars fixed before the proposed-model sweep, and familywise correction.</w:t>
      </w:r>
    </w:p>
    <w:p>
      <w:r>
        <w:rPr>
          <w:b/>
        </w:rPr>
        <w:t>Findings</w:t>
      </w:r>
      <w:r>
        <w:t xml:space="preserve"> — Interpretability is costly and the cost is measurable. Non-neural incumbents set the strongest bars; the construct-aligned model falls significantly below both and yields markedly less stable personas. Two controls sharpen this: alignment proves to be a property of a latent subspace rather than of individual named axes, and a zero-training representation built directly from the constructs achieves comparable measured lift to the neural model while holding perfect axis purity by construction.</w:t>
      </w:r>
    </w:p>
    <w:p>
      <w:r>
        <w:rPr>
          <w:b/>
        </w:rPr>
        <w:t>Originality/value</w:t>
      </w:r>
      <w:r>
        <w:t xml:space="preserve"> —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 77 articles spanning 2005–2020 —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and therefore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 recency-frequency-monetary value (RFM), price sensitivity, category affinity —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Most consequentially, when the interpretability claim is itself tested rather than assumed, it proves narrower than reported: the constructs live in a latent </w:t>
      </w:r>
      <w:r>
        <w:rPr>
          <w:i/>
        </w:rPr>
        <w:t>subspace</w:t>
      </w:r>
      <w:r>
        <w:t>, not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We do not claim that measuring persona quality by held-out prediction is new —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xml:space="preserve"> — the same population, repeated estimation — using the bootstrap-and-adjusted-Rand approach that is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 supervised concepts alongside unsupervised ones in the same layer — is prior art (Sawada and Nakamura, 2022). In the customer domain, Mancisidor </w:t>
      </w:r>
      <w:r>
        <w:rPr>
          <w:i/>
        </w:rPr>
        <w:t>et al.</w:t>
      </w:r>
      <w:r>
        <w:t xml:space="preserve"> (2019) steer a customer VAE's latent space with a business quantity. Critically, concept-supervised models with an unsupervised side channel are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 which turns out to be decisive.</w:t>
      </w:r>
    </w:p>
    <w:p>
      <w:r>
        <w:rPr>
          <w:b/>
        </w:rPr>
        <w:t>What this study does not claim.</w:t>
      </w:r>
      <w:r>
        <w:t xml:space="preserve"> Being explicit about this is necessary, because each component of the approach has an established antecedent.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and, we think, more useful: holding the three properties as co-equal criteria; measuring the exchange rate between them under a protocol strict enough that the numbers survive scrutiny; and two methodological findings that emerge only from doing so —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tree-based models remain state of the art on medium-sized tabular data even under matched tuning (Grinsztajn </w:t>
      </w:r>
      <w:r>
        <w:rPr>
          <w:i/>
        </w:rPr>
        <w:t>et al.</w:t>
      </w:r>
      <w:r>
        <w:t>, 2022).</w:t>
      </w:r>
    </w:p>
    <w:p>
      <w:pPr>
        <w:spacing w:before="240"/>
      </w:pPr>
      <w:r>
        <w:rPr>
          <w:b/>
          <w:sz w:val="24"/>
        </w:rPr>
        <w:t>3. Method</w:t>
      </w:r>
    </w:p>
    <w:p>
      <w:r>
        <w:rPr>
          <w:b/>
        </w:rPr>
        <w:t>Datasets.</w:t>
      </w:r>
      <w:r>
        <w:t xml:space="preserve"> </w:t>
      </w:r>
      <w:r>
        <w:rPr>
          <w:i/>
        </w:rPr>
        <w:t>A</w:t>
      </w:r>
      <w:r>
        <w:t xml:space="preserve">: Customer Personality Analysis, 2,240 customers, 29 survey-style columns; label is response to the final campaign (14.9% positive); stratified splits redrawn per seed. </w:t>
      </w:r>
      <w:r>
        <w:rPr>
          <w:i/>
        </w:rPr>
        <w:t>B</w:t>
      </w:r>
      <w:r>
        <w:t>: a multi-category e-commerce log, 109,950,743 events over two months aggregated to 2.55 million users × 27 features; features come from a window strictly preceding the label window, and train/validation/test are user-disjoint. Labels are future purchase (3.3% positive), dormancy, and next purchase category.</w:t>
      </w:r>
    </w:p>
    <w:p>
      <w:r>
        <w:rPr>
          <w:b/>
        </w:rPr>
        <w:t>Constructs.</w:t>
      </w:r>
      <w:r>
        <w:t xml:space="preserve"> Ten construct targets on Dataset A and seventeen on B, covering RFM, a price-sensitivity index and category-affinity shares. These are computed on the training split only and standardised without refitting;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not a simplification: it is what makes a construct correspond to a direction. The alignment weight λ and disentanglement weight β are swept over a 6 × 4 grid × 6 seeds, 144 runs per dataset. λ = 0 recovers a β-VAE; both components are configuration points, not code branches.</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therefore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Labels never touch representation learning. Baselines — RFM, RFM+k-means, PCA at matched capacity, autoencoder, AE+k-means, Gaussian mixture on AE embeddings, and deep embedded clustering — were run and the performance bar fixed </w:t>
      </w:r>
      <w:r>
        <w:rPr>
          <w:b/>
        </w:rPr>
        <w:t>before</w:t>
      </w:r>
      <w:r>
        <w:t xml:space="preserve"> any proposed-model run. The raw feature vector is included as a reference ceiling,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Finally, a drift guard pins the evaluation heads used during the sweep to the exact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We report this limitation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not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jc w:val="center"/>
      </w:pPr>
      <w:r>
        <w:rPr>
          <w:b/>
        </w:rPr>
        <w:t>[Insert Table I about here]</w:t>
      </w:r>
    </w:p>
    <w:p>
      <w:r>
        <w:t>*Excluded from bar selection. Bold marks each dataset's performance bar, fixed before the proposed-model sweep.</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 the standard persona format — is a major signal destroyer in these experiments: every eight-cluster one-hot representation loses 40–65%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 six configurations across six seeds. </w:t>
      </w:r>
      <w:r>
        <w:rPr>
          <w:b/>
        </w:rPr>
        <w:t>The bar survives</w:t>
      </w:r>
      <w:r>
        <w:t>: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 a posterior-collapse diagnostic recorded before the sweep led to extending the grid downward in β — and is therefore reported as a confirmed expectation rather than as a tested hypothesis.</w:t>
      </w:r>
    </w:p>
    <w:p>
      <w:r>
        <w:rPr>
          <w:b/>
        </w:rPr>
        <w:t>Figure 1</w:t>
      </w:r>
      <w:r>
        <w:t xml:space="preserve"> plots the trade-off surface directly: downstream performance against construct alignment across the swept grid, with the bar marked. It is the central artefact of the paper — the exchange rate between accuracy and interpretability, drawn from data rather than asserted.</w:t>
      </w:r>
    </w:p>
    <w:p>
      <w:pPr>
        <w:jc w:val="center"/>
      </w:pPr>
      <w:r>
        <w:drawing>
          <wp:inline xmlns:a="http://schemas.openxmlformats.org/drawingml/2006/main" xmlns:pic="http://schemas.openxmlformats.org/drawingml/2006/picture">
            <wp:extent cx="5486400" cy="3793281"/>
            <wp:docPr id="1" name="Picture 1"/>
            <wp:cNvGraphicFramePr>
              <a:graphicFrameLocks noChangeAspect="1"/>
            </wp:cNvGraphicFramePr>
            <a:graphic>
              <a:graphicData uri="http://schemas.openxmlformats.org/drawingml/2006/picture">
                <pic:pic>
                  <pic:nvPicPr>
                    <pic:cNvPr id="0" name="figure1_tradeoff.png"/>
                    <pic:cNvPicPr/>
                  </pic:nvPicPr>
                  <pic:blipFill>
                    <a:blip r:embed="rId9"/>
                    <a:stretch>
                      <a:fillRect/>
                    </a:stretch>
                  </pic:blipFill>
                  <pic:spPr>
                    <a:xfrm>
                      <a:off x="0" y="0"/>
                      <a:ext cx="5486400" cy="3793281"/>
                    </a:xfrm>
                    <a:prstGeom prst="rect"/>
                  </pic:spPr>
                </pic:pic>
              </a:graphicData>
            </a:graphic>
          </wp:inline>
        </w:drawing>
      </w:r>
    </w:p>
    <w:p>
      <w:pPr>
        <w:spacing w:line="240" w:lineRule="auto"/>
      </w:pPr>
      <w:r>
        <w:rPr>
          <w:b/>
        </w:rPr>
        <w:t xml:space="preserve">Figure 1. </w:t>
      </w:r>
      <w:r>
        <w:t>Interpretability–performance trade-off surface, Dataset A. Each point is a swept (β, λ) configuration; the horizontal line marks the performance bar fixed before the sweep, and the starred point is the configuration selected on validation data.</w:t>
      </w:r>
    </w:p>
    <w:p/>
    <w:p>
      <w:pPr>
        <w:spacing w:before="240"/>
      </w:pPr>
      <w:r>
        <w:rPr>
          <w:i/>
          <w:sz w:val="24"/>
        </w:rPr>
        <w:t>4.2 Stability is a cost, not a benefit</w:t>
      </w:r>
    </w:p>
    <w:p>
      <w:r>
        <w:rPr>
          <w:b/>
        </w:rPr>
        <w:t>E3 is not supported.</w:t>
      </w:r>
      <w:r>
        <w:t xml:space="preserve"> Incumbent personas are markedly more stable across seeds than aligned ones: RFM+k-means reaches cross-seed adjusted Rand index 0.975 (A) and 0.962 (B), AE+k-means 0.703 and 0.745, against 0.467 and 0.583 for CA-DVAE at its selected point. RFM's stability is unsurprising — it clusters three deterministic features — and stability was never its weakness.</w:t>
      </w:r>
    </w:p>
    <w:p>
      <w:pPr>
        <w:jc w:val="center"/>
      </w:pPr>
      <w:r>
        <w:rPr>
          <w:b/>
        </w:rPr>
        <w:t>[Insert Table II about here]</w:t>
      </w:r>
    </w:p>
    <w:p>
      <w:r>
        <w:t xml:space="preserve">Two qualifications matter for practice. First,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be read jointly with performance, never alone. Restricting to configurations within the selection slack of the best validation score, aligned personas reach parity with the neural incumbent (0.697 versus 0.703 on A; 0.725 versus 0.745 on B) — but remain far below the non-neural one. Second, strong alignment actively destabilises: the effect is non-monotone, with moderate alignment improving stability over the unaligned ablation and strong alignment degrading it.</w:t>
      </w:r>
    </w:p>
    <w:p>
      <w:pPr>
        <w:spacing w:before="240"/>
      </w:pPr>
      <w:r>
        <w:rPr>
          <w:i/>
          <w:sz w:val="24"/>
        </w:rPr>
        <w:t>4.3 Interpretability is a subspace, not a set of axes</w:t>
      </w:r>
    </w:p>
    <w:p>
      <w:r>
        <w:t xml:space="preserve">The alignment result this project had been reporting — construct R² up to 0.968 — is produced by a linear read-out of the </w:t>
      </w:r>
      <w:r>
        <w:rPr>
          <w:i/>
        </w:rPr>
        <w:t>whole</w:t>
      </w:r>
      <w:r>
        <w:t xml:space="preserve"> aligned block. Testing whether individual axes are separable gives a different answer.</w:t>
      </w:r>
    </w:p>
    <w:p>
      <w:pPr>
        <w:jc w:val="center"/>
      </w:pPr>
      <w:r>
        <w:rPr>
          <w:b/>
        </w:rPr>
        <w:t>[Insert Table III about here]</w:t>
      </w:r>
    </w:p>
    <w:p>
      <w:pPr>
        <w:jc w:val="center"/>
      </w:pPr>
      <w:r>
        <w:drawing>
          <wp:inline xmlns:a="http://schemas.openxmlformats.org/drawingml/2006/main" xmlns:pic="http://schemas.openxmlformats.org/drawingml/2006/picture">
            <wp:extent cx="2450146" cy="6857998"/>
            <wp:docPr id="2" name="Picture 2"/>
            <wp:cNvGraphicFramePr>
              <a:graphicFrameLocks noChangeAspect="1"/>
            </wp:cNvGraphicFramePr>
            <a:graphic>
              <a:graphicData uri="http://schemas.openxmlformats.org/drawingml/2006/picture">
                <pic:pic>
                  <pic:nvPicPr>
                    <pic:cNvPr id="0" name="figure2_persona_cards.png"/>
                    <pic:cNvPicPr/>
                  </pic:nvPicPr>
                  <pic:blipFill>
                    <a:blip r:embed="rId10"/>
                    <a:stretch>
                      <a:fillRect/>
                    </a:stretch>
                  </pic:blipFill>
                  <pic:spPr>
                    <a:xfrm>
                      <a:off x="0" y="0"/>
                      <a:ext cx="2450146" cy="6857998"/>
                    </a:xfrm>
                    <a:prstGeom prst="rect"/>
                  </pic:spPr>
                </pic:pic>
              </a:graphicData>
            </a:graphic>
          </wp:inline>
        </w:drawing>
      </w:r>
    </w:p>
    <w:p>
      <w:pPr>
        <w:spacing w:line="240" w:lineRule="auto"/>
      </w:pPr>
      <w:r>
        <w:rPr>
          <w:b/>
        </w:rPr>
        <w:t xml:space="preserve">Figure 2. </w:t>
      </w:r>
      <w:r>
        <w:t>Latent traversals along each best-aligned dimension, Dataset A, showing standardised feature deltas with raw-unit changes annotated. To be read alongside Section 4.3: these directions are interpretable in appearance but are not construct-pure.</w:t>
      </w:r>
    </w:p>
    <w:p/>
    <w:p>
      <w:r>
        <w:rPr>
          <w:b/>
        </w:rPr>
        <w:t>E2 splits: supported at block level, not supported at axis level.</w:t>
      </w:r>
      <w:r>
        <w:t xml:space="preserve"> The failure is not the side-channel leakage documented by Mahinpei </w:t>
      </w:r>
      <w:r>
        <w:rPr>
          <w:i/>
        </w:rPr>
        <w:t>et al.</w:t>
      </w:r>
      <w:r>
        <w:t xml:space="preserve"> (2021) — the constructs remain inside the aligned block — but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 precisely the property CA-DVAE claims and, per Section 4.3, does not deliver.</w:t>
      </w:r>
    </w:p>
    <w:p>
      <w:pPr>
        <w:jc w:val="center"/>
      </w:pPr>
      <w:r>
        <w:rPr>
          <w:b/>
        </w:rPr>
        <w:t>[Insert Table IV about here]</w:t>
      </w:r>
    </w:p>
    <w:p>
      <w:pPr>
        <w:jc w:val="center"/>
      </w:pPr>
      <w:r>
        <w:rPr>
          <w:b/>
        </w:rPr>
        <w:t>[Insert Table V about here]</w:t>
      </w:r>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free capacity alongside them does necessary work. That supports the aligned/free decomposition — but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 so each task is judged against its own strongest competitor.</w:t>
      </w:r>
    </w:p>
    <w:p>
      <w:r>
        <w:t>Against those bars, the aligned model wins dormancy prediction in both test families (0.8632 versus 0.8620), which in business terms is approximately twelve additional dormant customers identified per ten thousand contacted. The effect is tight across seeds and genuinely small, and we report it at exactly that size rather than as evidence of general superiority. Next-category prediction is a loss, not a parity: the seed-to-seed instability observed in the unregularised autoencoder on that task is not cured by construct anchoring.</w:t>
      </w:r>
    </w:p>
    <w:p>
      <w:r>
        <w:t>Two results support the design rather than the model. First, the twelve aligned dimensions alone carry as much downstream signal as the autoencoder's entire unnamed embedding, and on the survey dataset the aligned block alone beats raw RFM — so the named subspace is predictively load-bearing, not a label attached to a black box. Second,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stated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each changes the measured outcome, and each has its own ablation. But the direction is unflattering to the design. The alignment component </w:t>
      </w:r>
      <w:r>
        <w:rPr>
          <w:i/>
        </w:rPr>
        <w:t>costs</w:t>
      </w:r>
      <w:r>
        <w:t xml:space="preserve"> primary lift while supplying the interpretability the study is about, and the disentanglement component costs lift without a compensating measured benefit in this setting. Read alongside Section 4.4, the honest summary is that the aligned/free </w:t>
      </w:r>
      <w:r>
        <w:rPr>
          <w:i/>
        </w:rPr>
        <w:t>structure</w:t>
      </w:r>
      <w:r>
        <w:t xml:space="preserve"> is worth keeping and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 which RFM cannot represent at all — a learned representation is necessary. For maximum accuracy irrespective of explanation, use the raw feature vector with a tree-based model;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This is the practical implication we would emphasise. Interpretability was the stated motivation for construct alignment, and it is precisely where the neural approach was matched by arithmetic on features the organisation already has.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 the two approaches most commonly proposed as improvements on RFM —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costliest thing an organisation can do here is not choosing the wrong representation; it is choosing without measurement and then being unable to tell. Every result in this study came from infrastructure that is modest by modern standards — the entire experimental programme, 288 sweep runs included, consumed under nine GPU-hours — while the measurement discipline that produced the findings costs nothing but protocol: hold the representation out of the labels, repeat across seeds, fix the bar before running the proposed method, and report the comparison you specified in advance rather than the one that looks best afterwards. An organisation that adopts only the protocol and none of the models will still be better off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And do not accept an aggregate alignment score as evidence that a dimension is nameable —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not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(448 rows), making PR-AUC genuinely variable. The price-sensitivity construct on Dataset B measures browsed price tier rather than discount responsiveness, as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 reproducible today, still valid next quarter —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in a repository that will be made public on acceptance; reported results reproduce bit-exactly from the committed configurations and seeds. The repository link is withheld here to preserve double-anonymous review.</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International Conference on Machine Learning</w:t>
      </w:r>
      <w:r>
        <w:t>.</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International Conference on Machine Learning</w:t>
      </w:r>
      <w:r>
        <w:t>.</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International Conference on Machine Learning</w:t>
      </w:r>
      <w:r>
        <w:t>, PMLR 139, pp.10401-10412.</w:t>
      </w:r>
    </w:p>
    <w:p>
      <w:r>
        <w:t xml:space="preserve">Xie, J., Girshick, R. and Farhadi, A. (2016), "Unsupervised deep embedding for clustering analysis", </w:t>
      </w:r>
      <w:r>
        <w:rPr>
          <w:i/>
        </w:rPr>
        <w:t>International Conference on Machine Learning</w:t>
      </w:r>
      <w:r>
        <w:t>,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