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Tables</w:t>
      </w:r>
    </w:p>
    <w:p>
      <w:r>
        <w:rPr>
          <w:b/>
        </w:rPr>
        <w:t xml:space="preserve">Table I. </w:t>
      </w:r>
      <w:r>
        <w:t>Downstream performance of customer representations (test PR-AUC, gradient-boosted head, six seeds)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Representation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Dataset A (base rate 0.149)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Dataset B (base rate 0.033)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Raw features (ceiling)*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0.6066 ± 0.0749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0.2038 ± 0.0042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PCA (d = 16)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0.5677 ± 0.0729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0.1649 ± 0.0073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RFM (3 features)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0.3396 ± 0.0462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0.1953 ± 0.0035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Autoencoder (d = 16)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0.5156 ± 0.0682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0.1723 ± 0.0021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Gaussian mixture on AE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0.3973 ± 0.0615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0.1148 ± 0.0048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Deep embedded clustering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0.3483 ± 0.0465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0.0819 ± 0.0051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AE + k-means personas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0.3343 ± 0.0543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0.0672 ± 0.0071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RFM + k-means personas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0.2988 ± 0.0182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0.1073 ± 0.0064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CA-DVAE (validation-selected)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0.5130 ± 0.0597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0.1798 ± 0.0051</w:t>
            </w:r>
          </w:p>
        </w:tc>
      </w:tr>
    </w:tbl>
    <w:p/>
    <w:p>
      <w:r>
        <w:rPr>
          <w:b/>
        </w:rPr>
        <w:t xml:space="preserve">Table II. </w:t>
      </w:r>
      <w:r>
        <w:t>Cross-seed persona stability (adjusted Rand index, eight clusters, six seeds)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Persona pipeline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Dataset 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Dataset B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RFM + k-means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0.975 ± 0.011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0.962 ± 0.033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AE + k-means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0.703 ± 0.068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0.745 ± 0.037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CA-DVAE, moderate alignment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0.64–0.70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0.58–0.73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CA-DVAE at the selected point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0.467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0.583</w:t>
            </w:r>
          </w:p>
        </w:tc>
      </w:tr>
    </w:tbl>
    <w:p/>
    <w:p>
      <w:r>
        <w:rPr>
          <w:b/>
        </w:rPr>
        <w:t xml:space="preserve">Table III. </w:t>
      </w:r>
      <w:r>
        <w:t>Concept-leakage diagnostic, Dataset A at the selected operating point (10 aligned / 6 free dimensions, six seeds)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Reading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 xml:space="preserve">Aligned </w:t>
            </w:r>
            <w:r>
              <w:rPr>
                <w:b/>
                <w:sz w:val="18"/>
              </w:rPr>
              <w:t>block</w:t>
            </w:r>
            <w:r>
              <w:rPr>
                <w:sz w:val="18"/>
              </w:rPr>
              <w:t xml:space="preserve"> R², mean over constructs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0.873 (RFM 0.985–0.989)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The block encodes the constructs almost perfectly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 xml:space="preserve">Best </w:t>
            </w:r>
            <w:r>
              <w:rPr>
                <w:b/>
                <w:sz w:val="18"/>
              </w:rPr>
              <w:t>single-axis</w:t>
            </w:r>
            <w:r>
              <w:rPr>
                <w:sz w:val="18"/>
              </w:rPr>
              <w:t xml:space="preserve"> R², mean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0.406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No individual axis carries a construct strongly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Axis purity</w:t>
            </w:r>
            <w:r>
              <w:rPr>
                <w:sz w:val="18"/>
              </w:rPr>
              <w:t xml:space="preserve"> (on-target − best off-target R²), mean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−0.025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 xml:space="preserve">A named axis typically predicts some </w:t>
            </w:r>
            <w:r>
              <w:rPr>
                <w:i/>
                <w:sz w:val="18"/>
              </w:rPr>
              <w:t>other</w:t>
            </w:r>
            <w:r>
              <w:rPr>
                <w:sz w:val="18"/>
              </w:rPr>
              <w:t xml:space="preserve"> construct as well or better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Constructs with negative purity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6 of 10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Worst: frequency (−0.149), sweet-affinity (−0.174)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Distinct winning dimensions for 10 constructs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5.0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Constructs compete for the same axes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Free-block R², mean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0.102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Constructs stay inside the block: not side-channel leakage</w:t>
            </w:r>
          </w:p>
        </w:tc>
      </w:tr>
    </w:tbl>
    <w:p/>
    <w:p>
      <w:r>
        <w:rPr>
          <w:b/>
        </w:rPr>
        <w:t xml:space="preserve">Table IV. </w:t>
      </w:r>
      <w:r>
        <w:t>Named-axis control versus the swept model, Dataset A (test PR-AUC, six seeds)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Representation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PR-AUC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Named axes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Training cost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PCA (bar)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0.5677 ± 0.0729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none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Constructs + residual PCA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0.5438 ± 0.0640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10, R² = 1 by construction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CA-DVAE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0.5130 ± 0.0597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10, mean axis R² 0.406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144-run sweep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Constructs alone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0.4129 ± 0.0650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10, R² = 1 by construction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none</w:t>
            </w:r>
          </w:p>
        </w:tc>
      </w:tr>
    </w:tbl>
    <w:p/>
    <w:p>
      <w:r>
        <w:rPr>
          <w:b/>
        </w:rPr>
        <w:t xml:space="preserve">Table V.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8"/>
              </w:rPr>
              <w:t>Paired comparison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8"/>
              </w:rPr>
              <w:t>Δ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Cohen's </w:t>
            </w:r>
            <w:r>
              <w:rPr>
                <w:b/>
                <w:i/>
                <w:sz w:val="18"/>
              </w:rPr>
              <w:t>d_z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  <w:i/>
                <w:sz w:val="18"/>
              </w:rPr>
              <w:t>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8"/>
              </w:rPr>
              <w:t>Holm-adj.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Control − CA-DVAE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+0.031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+0.82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0.099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0.199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Control − constructs alone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+0.131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+5.46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4 × 10⁻⁵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8"/>
              </w:rPr>
              <w:t>1.3 × 10⁻⁴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