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pPr>
        <w:jc w:val="center"/>
      </w:pPr>
      <w:r>
        <w:rPr>
          <w:i w:val="0"/>
          <w:sz w:val="22"/>
        </w:rPr>
        <w:t>Vittal Muku</w:t>
      </w:r>
    </w:p>
    <w:p>
      <w:pPr>
        <w:jc w:val="center"/>
      </w:pPr>
      <w:r>
        <w:rPr>
          <w:i/>
          <w:sz w:val="22"/>
        </w:rPr>
        <w:t>Independent Research</w:t>
      </w:r>
    </w:p>
    <w:p>
      <w:pPr>
        <w:jc w:val="center"/>
      </w:pPr>
      <w:r>
        <w:rPr>
          <w:i w:val="0"/>
          <w:sz w:val="22"/>
        </w:rPr>
        <w:t>vittal.muku@gmail.com</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 Buyer personas direct substantial marketing expenditure, yet the field's own survey of data-driven persona development names evaluation as an open gap. Existing predictive validation reduces persona quality to a single accuracy figure, which cannot express what is sacrificed to obtain the interpretability practitioners choose personas for. This paper asks what an interpretable persona costs.</w:t>
      </w:r>
    </w:p>
    <w:p>
      <w:r>
        <w:rPr>
          <w:b/>
        </w:rPr>
        <w:t>Design/methodology/approach</w:t>
      </w:r>
      <w:r>
        <w:t xml:space="preserve"> — Persona quality is reformulated as three separately falsifiable properties: predictive lift on held-out future behaviour, alignment with named marketing constructs, and stability across repeated estimation. Eleven representations, including RFM, PCA, autoencoders and a construct-aligned variational autoencoder, are compared under a frozen-representation protocol on two public datasets (2,240 customers; 2.55 million users from 110 million events), with leakage guards enforced by automated tests, six seeds per result, pre-specified performance bars and familywise correction.</w:t>
      </w:r>
    </w:p>
    <w:p>
      <w:r>
        <w:rPr>
          <w:b/>
        </w:rPr>
        <w:t>Findings</w:t>
      </w:r>
      <w:r>
        <w:t xml:space="preserve"> — Interpretability is costly and the cost is measurable. Non-neural incumbents set the strongest bars; the construct-aligned model falls significantly below both and yields markedly less stable personas. Two controls sharpen this: alignment proves to be a property of a latent subspace rather than of individual named axes, and a zero-training representation built directly from the constructs achieves comparable measured lift to the neural model while holding perfect axis purity by construction.</w:t>
      </w:r>
    </w:p>
    <w:p>
      <w:r>
        <w:rPr>
          <w:b/>
        </w:rPr>
        <w:t>Originality/value</w:t>
      </w:r>
      <w:r>
        <w:t xml:space="preserve"> —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 77 articles spanning 2005–2020 —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and therefore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 recency-frequency-monetary value (RFM), price sensitivity, category affinity —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Most consequentially, when the interpretability claim is itself tested rather than assumed, it proves narrower than reported: the constructs live in a latent </w:t>
      </w:r>
      <w:r>
        <w:rPr>
          <w:i/>
        </w:rPr>
        <w:t>subspace</w:t>
      </w:r>
      <w:r>
        <w:t>, not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We do not claim that measuring persona quality by held-out prediction is new —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xml:space="preserve"> — the same population, repeated estimation — using the bootstrap-and-adjusted-Rand approach that is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 supervised concepts alongside unsupervised ones in the same layer — is prior art (Sawada and Nakamura, 2022). In the customer domain, Mancisidor </w:t>
      </w:r>
      <w:r>
        <w:rPr>
          <w:i/>
        </w:rPr>
        <w:t>et al.</w:t>
      </w:r>
      <w:r>
        <w:t xml:space="preserve"> (2019) steer a customer VAE's latent space with a business quantity. Critically, concept-supervised models with an unsupervised side channel are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 which turns out to be decisive.</w:t>
      </w:r>
    </w:p>
    <w:p>
      <w:r>
        <w:rPr>
          <w:b/>
        </w:rPr>
        <w:t>What this study does not claim.</w:t>
      </w:r>
      <w:r>
        <w:t xml:space="preserve"> Being explicit about this is necessary, because each component of the approach has an established antecedent.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and, we think, more useful: holding the three properties as co-equal criteria; measuring the exchange rate between them under a protocol strict enough that the numbers survive scrutiny; and two methodological findings that emerge only from doing so —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tree-based models remain state of the art on medium-sized tabular data even under matched tuning (Grinsztajn </w:t>
      </w:r>
      <w:r>
        <w:rPr>
          <w:i/>
        </w:rPr>
        <w:t>et al.</w:t>
      </w:r>
      <w:r>
        <w:t>, 2022).</w:t>
      </w:r>
    </w:p>
    <w:p>
      <w:pPr>
        <w:spacing w:before="240"/>
      </w:pPr>
      <w:r>
        <w:rPr>
          <w:b/>
          <w:sz w:val="24"/>
        </w:rPr>
        <w:t>3. Method</w:t>
      </w:r>
    </w:p>
    <w:p>
      <w:r>
        <w:rPr>
          <w:b/>
        </w:rPr>
        <w:t>Datasets.</w:t>
      </w:r>
      <w:r>
        <w:t xml:space="preserve"> </w:t>
      </w:r>
      <w:r>
        <w:rPr>
          <w:i/>
        </w:rPr>
        <w:t>A</w:t>
      </w:r>
      <w:r>
        <w:t xml:space="preserve">: Customer Personality Analysis, 2,240 customers, 29 survey-style columns; label is response to the final campaign (14.9% positive); stratified splits redrawn per seed. </w:t>
      </w:r>
      <w:r>
        <w:rPr>
          <w:i/>
        </w:rPr>
        <w:t>B</w:t>
      </w:r>
      <w:r>
        <w:t>: a multi-category e-commerce log, 109,950,743 events over two months aggregated to 2.55 million users × 27 features; features come from a window strictly preceding the label window, and train/validation/test are user-disjoint. Labels are future purchase (3.3% positive), dormancy, and next purchase category.</w:t>
      </w:r>
    </w:p>
    <w:p>
      <w:r>
        <w:rPr>
          <w:b/>
        </w:rPr>
        <w:t>Constructs.</w:t>
      </w:r>
      <w:r>
        <w:t xml:space="preserve"> Ten construct targets on Dataset A and seventeen on B, covering RFM, a price-sensitivity index and category-affinity shares. These are computed on the training split only and standardised without refitting;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not a simplification: it is what makes a construct correspond to a direction. The alignment weight λ and disentanglement weight β are swept over a 6 × 4 grid × 6 seeds, 144 runs per dataset. λ = 0 recovers a β-VAE; both components are configuration points, not code branches.</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therefore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Labels never touch representation learning. Baselines — RFM, RFM+k-means, PCA at matched capacity, autoencoder, AE+k-means, Gaussian mixture on AE embeddings, and deep embedded clustering — were run and the performance bar fixed </w:t>
      </w:r>
      <w:r>
        <w:rPr>
          <w:b/>
        </w:rPr>
        <w:t>before</w:t>
      </w:r>
      <w:r>
        <w:t xml:space="preserve"> any proposed-model run. The raw feature vector is included as a reference ceiling,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Finally, a drift guard pins the evaluation heads used during the sweep to the exact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We report this limitation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not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spacing w:line="240" w:lineRule="auto"/>
      </w:pPr>
      <w:r>
        <w:rPr>
          <w:b/>
        </w:rPr>
        <w:t>Table I.</w:t>
      </w:r>
      <w:r>
        <w:t xml:space="preserve"> Downstream performance of customer representations (test PR-AUC, gradient-boosted head,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Representation</w:t>
            </w:r>
          </w:p>
        </w:tc>
        <w:tc>
          <w:tcPr>
            <w:tcW w:type="dxa" w:w="2880"/>
          </w:tcPr>
          <w:p>
            <w:pPr>
              <w:spacing w:after="0" w:line="240" w:lineRule="auto"/>
            </w:pPr>
            <w:r>
              <w:rPr>
                <w:b/>
                <w:sz w:val="18"/>
              </w:rPr>
              <w:t>Dataset A (base rate 0.149)</w:t>
            </w:r>
          </w:p>
        </w:tc>
        <w:tc>
          <w:tcPr>
            <w:tcW w:type="dxa" w:w="2880"/>
          </w:tcPr>
          <w:p>
            <w:pPr>
              <w:spacing w:after="0" w:line="240" w:lineRule="auto"/>
            </w:pPr>
            <w:r>
              <w:rPr>
                <w:b/>
                <w:sz w:val="18"/>
              </w:rPr>
              <w:t>Dataset B (base rate 0.033)</w:t>
            </w:r>
          </w:p>
        </w:tc>
      </w:tr>
      <w:tr>
        <w:tc>
          <w:tcPr>
            <w:tcW w:type="dxa" w:w="2880"/>
          </w:tcPr>
          <w:p>
            <w:pPr>
              <w:spacing w:after="0" w:line="240" w:lineRule="auto"/>
            </w:pPr>
            <w:r>
              <w:rPr>
                <w:sz w:val="18"/>
              </w:rPr>
              <w:t>Raw features (ceiling)*</w:t>
            </w:r>
          </w:p>
        </w:tc>
        <w:tc>
          <w:tcPr>
            <w:tcW w:type="dxa" w:w="2880"/>
          </w:tcPr>
          <w:p>
            <w:pPr>
              <w:spacing w:after="0" w:line="240" w:lineRule="auto"/>
            </w:pPr>
            <w:r>
              <w:rPr>
                <w:sz w:val="18"/>
              </w:rPr>
              <w:t>0.6066 ± 0.0749</w:t>
            </w:r>
          </w:p>
        </w:tc>
        <w:tc>
          <w:tcPr>
            <w:tcW w:type="dxa" w:w="2880"/>
          </w:tcPr>
          <w:p>
            <w:pPr>
              <w:spacing w:after="0" w:line="240" w:lineRule="auto"/>
            </w:pPr>
            <w:r>
              <w:rPr>
                <w:sz w:val="18"/>
              </w:rPr>
              <w:t>0.2038 ± 0.0042</w:t>
            </w:r>
          </w:p>
        </w:tc>
      </w:tr>
      <w:tr>
        <w:tc>
          <w:tcPr>
            <w:tcW w:type="dxa" w:w="2880"/>
          </w:tcPr>
          <w:p>
            <w:pPr>
              <w:spacing w:after="0" w:line="240" w:lineRule="auto"/>
            </w:pPr>
            <w:r>
              <w:rPr>
                <w:b/>
                <w:sz w:val="18"/>
              </w:rPr>
              <w:t>PCA (d = 16)</w:t>
            </w:r>
          </w:p>
        </w:tc>
        <w:tc>
          <w:tcPr>
            <w:tcW w:type="dxa" w:w="2880"/>
          </w:tcPr>
          <w:p>
            <w:pPr>
              <w:spacing w:after="0" w:line="240" w:lineRule="auto"/>
            </w:pPr>
            <w:r>
              <w:rPr>
                <w:b/>
                <w:sz w:val="18"/>
              </w:rPr>
              <w:t>0.5677 ± 0.0729</w:t>
            </w:r>
          </w:p>
        </w:tc>
        <w:tc>
          <w:tcPr>
            <w:tcW w:type="dxa" w:w="2880"/>
          </w:tcPr>
          <w:p>
            <w:pPr>
              <w:spacing w:after="0" w:line="240" w:lineRule="auto"/>
            </w:pPr>
            <w:r>
              <w:rPr>
                <w:sz w:val="18"/>
              </w:rPr>
              <w:t>0.1649 ± 0.0073</w:t>
            </w:r>
          </w:p>
        </w:tc>
      </w:tr>
      <w:tr>
        <w:tc>
          <w:tcPr>
            <w:tcW w:type="dxa" w:w="2880"/>
          </w:tcPr>
          <w:p>
            <w:pPr>
              <w:spacing w:after="0" w:line="240" w:lineRule="auto"/>
            </w:pPr>
            <w:r>
              <w:rPr>
                <w:b/>
                <w:sz w:val="18"/>
              </w:rPr>
              <w:t>RFM (3 features)</w:t>
            </w:r>
          </w:p>
        </w:tc>
        <w:tc>
          <w:tcPr>
            <w:tcW w:type="dxa" w:w="2880"/>
          </w:tcPr>
          <w:p>
            <w:pPr>
              <w:spacing w:after="0" w:line="240" w:lineRule="auto"/>
            </w:pPr>
            <w:r>
              <w:rPr>
                <w:sz w:val="18"/>
              </w:rPr>
              <w:t>0.3396 ± 0.0462</w:t>
            </w:r>
          </w:p>
        </w:tc>
        <w:tc>
          <w:tcPr>
            <w:tcW w:type="dxa" w:w="2880"/>
          </w:tcPr>
          <w:p>
            <w:pPr>
              <w:spacing w:after="0" w:line="240" w:lineRule="auto"/>
            </w:pPr>
            <w:r>
              <w:rPr>
                <w:b/>
                <w:sz w:val="18"/>
              </w:rPr>
              <w:t>0.1953 ± 0.0035</w:t>
            </w:r>
          </w:p>
        </w:tc>
      </w:tr>
      <w:tr>
        <w:tc>
          <w:tcPr>
            <w:tcW w:type="dxa" w:w="2880"/>
          </w:tcPr>
          <w:p>
            <w:pPr>
              <w:spacing w:after="0" w:line="240" w:lineRule="auto"/>
            </w:pPr>
            <w:r>
              <w:rPr>
                <w:sz w:val="18"/>
              </w:rPr>
              <w:t>Autoencoder (d = 16)</w:t>
            </w:r>
          </w:p>
        </w:tc>
        <w:tc>
          <w:tcPr>
            <w:tcW w:type="dxa" w:w="2880"/>
          </w:tcPr>
          <w:p>
            <w:pPr>
              <w:spacing w:after="0" w:line="240" w:lineRule="auto"/>
            </w:pPr>
            <w:r>
              <w:rPr>
                <w:sz w:val="18"/>
              </w:rPr>
              <w:t>0.5156 ± 0.0682</w:t>
            </w:r>
          </w:p>
        </w:tc>
        <w:tc>
          <w:tcPr>
            <w:tcW w:type="dxa" w:w="2880"/>
          </w:tcPr>
          <w:p>
            <w:pPr>
              <w:spacing w:after="0" w:line="240" w:lineRule="auto"/>
            </w:pPr>
            <w:r>
              <w:rPr>
                <w:sz w:val="18"/>
              </w:rPr>
              <w:t>0.1723 ± 0.0021</w:t>
            </w:r>
          </w:p>
        </w:tc>
      </w:tr>
      <w:tr>
        <w:tc>
          <w:tcPr>
            <w:tcW w:type="dxa" w:w="2880"/>
          </w:tcPr>
          <w:p>
            <w:pPr>
              <w:spacing w:after="0" w:line="240" w:lineRule="auto"/>
            </w:pPr>
            <w:r>
              <w:rPr>
                <w:sz w:val="18"/>
              </w:rPr>
              <w:t>Gaussian mixture on AE</w:t>
            </w:r>
          </w:p>
        </w:tc>
        <w:tc>
          <w:tcPr>
            <w:tcW w:type="dxa" w:w="2880"/>
          </w:tcPr>
          <w:p>
            <w:pPr>
              <w:spacing w:after="0" w:line="240" w:lineRule="auto"/>
            </w:pPr>
            <w:r>
              <w:rPr>
                <w:sz w:val="18"/>
              </w:rPr>
              <w:t>0.3973 ± 0.0615</w:t>
            </w:r>
          </w:p>
        </w:tc>
        <w:tc>
          <w:tcPr>
            <w:tcW w:type="dxa" w:w="2880"/>
          </w:tcPr>
          <w:p>
            <w:pPr>
              <w:spacing w:after="0" w:line="240" w:lineRule="auto"/>
            </w:pPr>
            <w:r>
              <w:rPr>
                <w:sz w:val="18"/>
              </w:rPr>
              <w:t>0.1148 ± 0.0048</w:t>
            </w:r>
          </w:p>
        </w:tc>
      </w:tr>
      <w:tr>
        <w:tc>
          <w:tcPr>
            <w:tcW w:type="dxa" w:w="2880"/>
          </w:tcPr>
          <w:p>
            <w:pPr>
              <w:spacing w:after="0" w:line="240" w:lineRule="auto"/>
            </w:pPr>
            <w:r>
              <w:rPr>
                <w:sz w:val="18"/>
              </w:rPr>
              <w:t>Deep embedded clustering</w:t>
            </w:r>
          </w:p>
        </w:tc>
        <w:tc>
          <w:tcPr>
            <w:tcW w:type="dxa" w:w="2880"/>
          </w:tcPr>
          <w:p>
            <w:pPr>
              <w:spacing w:after="0" w:line="240" w:lineRule="auto"/>
            </w:pPr>
            <w:r>
              <w:rPr>
                <w:sz w:val="18"/>
              </w:rPr>
              <w:t>0.3483 ± 0.0465</w:t>
            </w:r>
          </w:p>
        </w:tc>
        <w:tc>
          <w:tcPr>
            <w:tcW w:type="dxa" w:w="2880"/>
          </w:tcPr>
          <w:p>
            <w:pPr>
              <w:spacing w:after="0" w:line="240" w:lineRule="auto"/>
            </w:pPr>
            <w:r>
              <w:rPr>
                <w:sz w:val="18"/>
              </w:rPr>
              <w:t>0.0819 ± 0.0051</w:t>
            </w:r>
          </w:p>
        </w:tc>
      </w:tr>
      <w:tr>
        <w:tc>
          <w:tcPr>
            <w:tcW w:type="dxa" w:w="2880"/>
          </w:tcPr>
          <w:p>
            <w:pPr>
              <w:spacing w:after="0" w:line="240" w:lineRule="auto"/>
            </w:pPr>
            <w:r>
              <w:rPr>
                <w:sz w:val="18"/>
              </w:rPr>
              <w:t>AE + k-means personas</w:t>
            </w:r>
          </w:p>
        </w:tc>
        <w:tc>
          <w:tcPr>
            <w:tcW w:type="dxa" w:w="2880"/>
          </w:tcPr>
          <w:p>
            <w:pPr>
              <w:spacing w:after="0" w:line="240" w:lineRule="auto"/>
            </w:pPr>
            <w:r>
              <w:rPr>
                <w:sz w:val="18"/>
              </w:rPr>
              <w:t>0.3343 ± 0.0543</w:t>
            </w:r>
          </w:p>
        </w:tc>
        <w:tc>
          <w:tcPr>
            <w:tcW w:type="dxa" w:w="2880"/>
          </w:tcPr>
          <w:p>
            <w:pPr>
              <w:spacing w:after="0" w:line="240" w:lineRule="auto"/>
            </w:pPr>
            <w:r>
              <w:rPr>
                <w:sz w:val="18"/>
              </w:rPr>
              <w:t>0.0672 ± 0.0071</w:t>
            </w:r>
          </w:p>
        </w:tc>
      </w:tr>
      <w:tr>
        <w:tc>
          <w:tcPr>
            <w:tcW w:type="dxa" w:w="2880"/>
          </w:tcPr>
          <w:p>
            <w:pPr>
              <w:spacing w:after="0" w:line="240" w:lineRule="auto"/>
            </w:pPr>
            <w:r>
              <w:rPr>
                <w:sz w:val="18"/>
              </w:rPr>
              <w:t>RFM + k-means personas</w:t>
            </w:r>
          </w:p>
        </w:tc>
        <w:tc>
          <w:tcPr>
            <w:tcW w:type="dxa" w:w="2880"/>
          </w:tcPr>
          <w:p>
            <w:pPr>
              <w:spacing w:after="0" w:line="240" w:lineRule="auto"/>
            </w:pPr>
            <w:r>
              <w:rPr>
                <w:sz w:val="18"/>
              </w:rPr>
              <w:t>0.2988 ± 0.0182</w:t>
            </w:r>
          </w:p>
        </w:tc>
        <w:tc>
          <w:tcPr>
            <w:tcW w:type="dxa" w:w="2880"/>
          </w:tcPr>
          <w:p>
            <w:pPr>
              <w:spacing w:after="0" w:line="240" w:lineRule="auto"/>
            </w:pPr>
            <w:r>
              <w:rPr>
                <w:sz w:val="18"/>
              </w:rPr>
              <w:t>0.1073 ± 0.0064</w:t>
            </w:r>
          </w:p>
        </w:tc>
      </w:tr>
      <w:tr>
        <w:tc>
          <w:tcPr>
            <w:tcW w:type="dxa" w:w="2880"/>
          </w:tcPr>
          <w:p>
            <w:pPr>
              <w:spacing w:after="0" w:line="240" w:lineRule="auto"/>
            </w:pPr>
            <w:r>
              <w:rPr>
                <w:sz w:val="18"/>
              </w:rPr>
              <w:t>CA-DVAE (validation-selected)</w:t>
            </w:r>
          </w:p>
        </w:tc>
        <w:tc>
          <w:tcPr>
            <w:tcW w:type="dxa" w:w="2880"/>
          </w:tcPr>
          <w:p>
            <w:pPr>
              <w:spacing w:after="0" w:line="240" w:lineRule="auto"/>
            </w:pPr>
            <w:r>
              <w:rPr>
                <w:sz w:val="18"/>
              </w:rPr>
              <w:t>0.5130 ± 0.0597</w:t>
            </w:r>
          </w:p>
        </w:tc>
        <w:tc>
          <w:tcPr>
            <w:tcW w:type="dxa" w:w="2880"/>
          </w:tcPr>
          <w:p>
            <w:pPr>
              <w:spacing w:after="0" w:line="240" w:lineRule="auto"/>
            </w:pPr>
            <w:r>
              <w:rPr>
                <w:sz w:val="18"/>
              </w:rPr>
              <w:t>0.1798 ± 0.0051</w:t>
            </w:r>
          </w:p>
        </w:tc>
      </w:tr>
    </w:tbl>
    <w:p/>
    <w:p>
      <w:r>
        <w:t>*Excluded from bar selection. Bold marks each dataset's pre-specified bar.</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 the standard persona format — is a major signal destroyer in these experiments: every eight-cluster one-hot representation loses 40–65%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 six configurations across six seeds. </w:t>
      </w:r>
      <w:r>
        <w:rPr>
          <w:b/>
        </w:rPr>
        <w:t>The pre-specified bar survives</w:t>
      </w:r>
      <w:r>
        <w:t>: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 a posterior-collapse diagnostic recorded before the sweep led to extending the grid downward in β — and is therefore reported as a confirmed expectation rather than as a tested hypothesis.</w:t>
      </w:r>
    </w:p>
    <w:p>
      <w:r>
        <w:rPr>
          <w:b/>
        </w:rPr>
        <w:t>Figure 1</w:t>
      </w:r>
      <w:r>
        <w:t xml:space="preserve"> plots the trade-off surface directly: downstream performance against construct alignment across the swept grid, with the pre-specified bar marked. It is the central artefact of the paper — the exchange rate between accuracy and interpretability, drawn from data rather than asserted.</w:t>
      </w:r>
    </w:p>
    <w:p>
      <w:pPr>
        <w:jc w:val="center"/>
      </w:pPr>
      <w:r>
        <w:rPr>
          <w:b/>
        </w:rPr>
        <w:t>[Insert Figure 1 about here]</w:t>
      </w:r>
    </w:p>
    <w:p>
      <w:pPr>
        <w:spacing w:before="240"/>
      </w:pPr>
      <w:r>
        <w:rPr>
          <w:i/>
          <w:sz w:val="24"/>
        </w:rPr>
        <w:t>4.2 Stability is a cost, not a benefit</w:t>
      </w:r>
    </w:p>
    <w:p>
      <w:r>
        <w:rPr>
          <w:b/>
        </w:rPr>
        <w:t>E3 is not supported.</w:t>
      </w:r>
      <w:r>
        <w:t xml:space="preserve"> Incumbent personas are markedly more stable across seeds than aligned ones: RFM+k-means reaches cross-seed adjusted Rand index 0.975 (A) and 0.962 (B), AE+k-means 0.703 and 0.745, against 0.467 and 0.583 for CA-DVAE at its selected point. RFM's stability is unsurprising — it clusters three deterministic features — and stability was never its weakness.</w:t>
      </w:r>
    </w:p>
    <w:p>
      <w:pPr>
        <w:spacing w:line="240" w:lineRule="auto"/>
      </w:pPr>
      <w:r>
        <w:rPr>
          <w:b/>
        </w:rPr>
        <w:t>Table II.</w:t>
      </w:r>
      <w:r>
        <w:t xml:space="preserve"> Cross-seed persona stability (adjusted Rand index, eight clusters,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Persona pipeline</w:t>
            </w:r>
          </w:p>
        </w:tc>
        <w:tc>
          <w:tcPr>
            <w:tcW w:type="dxa" w:w="2880"/>
          </w:tcPr>
          <w:p>
            <w:pPr>
              <w:spacing w:after="0" w:line="240" w:lineRule="auto"/>
            </w:pPr>
            <w:r>
              <w:rPr>
                <w:b/>
                <w:sz w:val="18"/>
              </w:rPr>
              <w:t>Dataset A</w:t>
            </w:r>
          </w:p>
        </w:tc>
        <w:tc>
          <w:tcPr>
            <w:tcW w:type="dxa" w:w="2880"/>
          </w:tcPr>
          <w:p>
            <w:pPr>
              <w:spacing w:after="0" w:line="240" w:lineRule="auto"/>
            </w:pPr>
            <w:r>
              <w:rPr>
                <w:b/>
                <w:sz w:val="18"/>
              </w:rPr>
              <w:t>Dataset B</w:t>
            </w:r>
          </w:p>
        </w:tc>
      </w:tr>
      <w:tr>
        <w:tc>
          <w:tcPr>
            <w:tcW w:type="dxa" w:w="2880"/>
          </w:tcPr>
          <w:p>
            <w:pPr>
              <w:spacing w:after="0" w:line="240" w:lineRule="auto"/>
            </w:pPr>
            <w:r>
              <w:rPr>
                <w:sz w:val="18"/>
              </w:rPr>
              <w:t>RFM + k-means</w:t>
            </w:r>
          </w:p>
        </w:tc>
        <w:tc>
          <w:tcPr>
            <w:tcW w:type="dxa" w:w="2880"/>
          </w:tcPr>
          <w:p>
            <w:pPr>
              <w:spacing w:after="0" w:line="240" w:lineRule="auto"/>
            </w:pPr>
            <w:r>
              <w:rPr>
                <w:sz w:val="18"/>
              </w:rPr>
              <w:t>0.975 ± 0.011</w:t>
            </w:r>
          </w:p>
        </w:tc>
        <w:tc>
          <w:tcPr>
            <w:tcW w:type="dxa" w:w="2880"/>
          </w:tcPr>
          <w:p>
            <w:pPr>
              <w:spacing w:after="0" w:line="240" w:lineRule="auto"/>
            </w:pPr>
            <w:r>
              <w:rPr>
                <w:sz w:val="18"/>
              </w:rPr>
              <w:t>0.962 ± 0.033</w:t>
            </w:r>
          </w:p>
        </w:tc>
      </w:tr>
      <w:tr>
        <w:tc>
          <w:tcPr>
            <w:tcW w:type="dxa" w:w="2880"/>
          </w:tcPr>
          <w:p>
            <w:pPr>
              <w:spacing w:after="0" w:line="240" w:lineRule="auto"/>
            </w:pPr>
            <w:r>
              <w:rPr>
                <w:sz w:val="18"/>
              </w:rPr>
              <w:t>AE + k-means</w:t>
            </w:r>
          </w:p>
        </w:tc>
        <w:tc>
          <w:tcPr>
            <w:tcW w:type="dxa" w:w="2880"/>
          </w:tcPr>
          <w:p>
            <w:pPr>
              <w:spacing w:after="0" w:line="240" w:lineRule="auto"/>
            </w:pPr>
            <w:r>
              <w:rPr>
                <w:sz w:val="18"/>
              </w:rPr>
              <w:t>0.703 ± 0.068</w:t>
            </w:r>
          </w:p>
        </w:tc>
        <w:tc>
          <w:tcPr>
            <w:tcW w:type="dxa" w:w="2880"/>
          </w:tcPr>
          <w:p>
            <w:pPr>
              <w:spacing w:after="0" w:line="240" w:lineRule="auto"/>
            </w:pPr>
            <w:r>
              <w:rPr>
                <w:sz w:val="18"/>
              </w:rPr>
              <w:t>0.745 ± 0.037</w:t>
            </w:r>
          </w:p>
        </w:tc>
      </w:tr>
      <w:tr>
        <w:tc>
          <w:tcPr>
            <w:tcW w:type="dxa" w:w="2880"/>
          </w:tcPr>
          <w:p>
            <w:pPr>
              <w:spacing w:after="0" w:line="240" w:lineRule="auto"/>
            </w:pPr>
            <w:r>
              <w:rPr>
                <w:sz w:val="18"/>
              </w:rPr>
              <w:t>CA-DVAE, moderate alignment</w:t>
            </w:r>
          </w:p>
        </w:tc>
        <w:tc>
          <w:tcPr>
            <w:tcW w:type="dxa" w:w="2880"/>
          </w:tcPr>
          <w:p>
            <w:pPr>
              <w:spacing w:after="0" w:line="240" w:lineRule="auto"/>
            </w:pPr>
            <w:r>
              <w:rPr>
                <w:sz w:val="18"/>
              </w:rPr>
              <w:t>0.64–0.70</w:t>
            </w:r>
          </w:p>
        </w:tc>
        <w:tc>
          <w:tcPr>
            <w:tcW w:type="dxa" w:w="2880"/>
          </w:tcPr>
          <w:p>
            <w:pPr>
              <w:spacing w:after="0" w:line="240" w:lineRule="auto"/>
            </w:pPr>
            <w:r>
              <w:rPr>
                <w:sz w:val="18"/>
              </w:rPr>
              <w:t>0.58–0.73</w:t>
            </w:r>
          </w:p>
        </w:tc>
      </w:tr>
      <w:tr>
        <w:tc>
          <w:tcPr>
            <w:tcW w:type="dxa" w:w="2880"/>
          </w:tcPr>
          <w:p>
            <w:pPr>
              <w:spacing w:after="0" w:line="240" w:lineRule="auto"/>
            </w:pPr>
            <w:r>
              <w:rPr>
                <w:sz w:val="18"/>
              </w:rPr>
              <w:t>CA-DVAE at the selected point</w:t>
            </w:r>
          </w:p>
        </w:tc>
        <w:tc>
          <w:tcPr>
            <w:tcW w:type="dxa" w:w="2880"/>
          </w:tcPr>
          <w:p>
            <w:pPr>
              <w:spacing w:after="0" w:line="240" w:lineRule="auto"/>
            </w:pPr>
            <w:r>
              <w:rPr>
                <w:sz w:val="18"/>
              </w:rPr>
              <w:t>0.467</w:t>
            </w:r>
          </w:p>
        </w:tc>
        <w:tc>
          <w:tcPr>
            <w:tcW w:type="dxa" w:w="2880"/>
          </w:tcPr>
          <w:p>
            <w:pPr>
              <w:spacing w:after="0" w:line="240" w:lineRule="auto"/>
            </w:pPr>
            <w:r>
              <w:rPr>
                <w:sz w:val="18"/>
              </w:rPr>
              <w:t>0.583</w:t>
            </w:r>
          </w:p>
        </w:tc>
      </w:tr>
    </w:tbl>
    <w:p/>
    <w:p>
      <w:r>
        <w:t xml:space="preserve">Two qualifications matter for practice. First,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be read jointly with performance, never alone. Restricting to configurations within the selection slack of the best validation score, aligned personas reach parity with the neural incumbent (0.697 versus 0.703 on A; 0.725 versus 0.745 on B) — but remain far below the non-neural one. Second, strong alignment actively destabilises: the effect is non-monotone, with moderate alignment improving stability over the unaligned ablation and strong alignment degrading it.</w:t>
      </w:r>
    </w:p>
    <w:p>
      <w:pPr>
        <w:spacing w:before="240"/>
      </w:pPr>
      <w:r>
        <w:rPr>
          <w:i/>
          <w:sz w:val="24"/>
        </w:rPr>
        <w:t>4.3 Interpretability is a subspace, not a set of axes</w:t>
      </w:r>
    </w:p>
    <w:p>
      <w:r>
        <w:t xml:space="preserve">The alignment result this project had been reporting — construct R² up to 0.968 — is produced by a linear read-out of the </w:t>
      </w:r>
      <w:r>
        <w:rPr>
          <w:i/>
        </w:rPr>
        <w:t>whole</w:t>
      </w:r>
      <w:r>
        <w:t xml:space="preserve"> aligned block. Testing whether individual axes are separable gives a different answer.</w:t>
      </w:r>
    </w:p>
    <w:p>
      <w:pPr>
        <w:spacing w:line="240" w:lineRule="auto"/>
      </w:pPr>
      <w:r>
        <w:rPr>
          <w:b/>
        </w:rPr>
        <w:t>Table III.</w:t>
      </w:r>
      <w:r>
        <w:t xml:space="preserve"> Concept-leakage diagnostic, Dataset A at the selected operating point (10 aligned / 6 free dimensions,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Quantity</w:t>
            </w:r>
          </w:p>
        </w:tc>
        <w:tc>
          <w:tcPr>
            <w:tcW w:type="dxa" w:w="2880"/>
          </w:tcPr>
          <w:p>
            <w:pPr>
              <w:spacing w:after="0" w:line="240" w:lineRule="auto"/>
            </w:pPr>
            <w:r>
              <w:rPr>
                <w:b/>
                <w:sz w:val="18"/>
              </w:rPr>
              <w:t>Value</w:t>
            </w:r>
          </w:p>
        </w:tc>
        <w:tc>
          <w:tcPr>
            <w:tcW w:type="dxa" w:w="2880"/>
          </w:tcPr>
          <w:p>
            <w:pPr>
              <w:spacing w:after="0" w:line="240" w:lineRule="auto"/>
            </w:pPr>
            <w:r>
              <w:rPr>
                <w:b/>
                <w:sz w:val="18"/>
              </w:rPr>
              <w:t>Reading</w:t>
            </w:r>
          </w:p>
        </w:tc>
      </w:tr>
      <w:tr>
        <w:tc>
          <w:tcPr>
            <w:tcW w:type="dxa" w:w="2880"/>
          </w:tcPr>
          <w:p>
            <w:pPr>
              <w:spacing w:after="0" w:line="240" w:lineRule="auto"/>
            </w:pPr>
            <w:r>
              <w:rPr>
                <w:sz w:val="18"/>
              </w:rPr>
              <w:t xml:space="preserve">Aligned </w:t>
            </w:r>
            <w:r>
              <w:rPr>
                <w:b/>
                <w:sz w:val="18"/>
              </w:rPr>
              <w:t>block</w:t>
            </w:r>
            <w:r>
              <w:rPr>
                <w:sz w:val="18"/>
              </w:rPr>
              <w:t xml:space="preserve"> R², mean over constructs</w:t>
            </w:r>
          </w:p>
        </w:tc>
        <w:tc>
          <w:tcPr>
            <w:tcW w:type="dxa" w:w="2880"/>
          </w:tcPr>
          <w:p>
            <w:pPr>
              <w:spacing w:after="0" w:line="240" w:lineRule="auto"/>
            </w:pPr>
            <w:r>
              <w:rPr>
                <w:sz w:val="18"/>
              </w:rPr>
              <w:t>0.873 (RFM 0.985–0.989)</w:t>
            </w:r>
          </w:p>
        </w:tc>
        <w:tc>
          <w:tcPr>
            <w:tcW w:type="dxa" w:w="2880"/>
          </w:tcPr>
          <w:p>
            <w:pPr>
              <w:spacing w:after="0" w:line="240" w:lineRule="auto"/>
            </w:pPr>
            <w:r>
              <w:rPr>
                <w:sz w:val="18"/>
              </w:rPr>
              <w:t>The block encodes the constructs almost perfectly</w:t>
            </w:r>
          </w:p>
        </w:tc>
      </w:tr>
      <w:tr>
        <w:tc>
          <w:tcPr>
            <w:tcW w:type="dxa" w:w="2880"/>
          </w:tcPr>
          <w:p>
            <w:pPr>
              <w:spacing w:after="0" w:line="240" w:lineRule="auto"/>
            </w:pPr>
            <w:r>
              <w:rPr>
                <w:sz w:val="18"/>
              </w:rPr>
              <w:t xml:space="preserve">Best </w:t>
            </w:r>
            <w:r>
              <w:rPr>
                <w:b/>
                <w:sz w:val="18"/>
              </w:rPr>
              <w:t>single-axis</w:t>
            </w:r>
            <w:r>
              <w:rPr>
                <w:sz w:val="18"/>
              </w:rPr>
              <w:t xml:space="preserve"> R², mean</w:t>
            </w:r>
          </w:p>
        </w:tc>
        <w:tc>
          <w:tcPr>
            <w:tcW w:type="dxa" w:w="2880"/>
          </w:tcPr>
          <w:p>
            <w:pPr>
              <w:spacing w:after="0" w:line="240" w:lineRule="auto"/>
            </w:pPr>
            <w:r>
              <w:rPr>
                <w:sz w:val="18"/>
              </w:rPr>
              <w:t>0.406</w:t>
            </w:r>
          </w:p>
        </w:tc>
        <w:tc>
          <w:tcPr>
            <w:tcW w:type="dxa" w:w="2880"/>
          </w:tcPr>
          <w:p>
            <w:pPr>
              <w:spacing w:after="0" w:line="240" w:lineRule="auto"/>
            </w:pPr>
            <w:r>
              <w:rPr>
                <w:sz w:val="18"/>
              </w:rPr>
              <w:t>No individual axis carries a construct strongly</w:t>
            </w:r>
          </w:p>
        </w:tc>
      </w:tr>
      <w:tr>
        <w:tc>
          <w:tcPr>
            <w:tcW w:type="dxa" w:w="2880"/>
          </w:tcPr>
          <w:p>
            <w:pPr>
              <w:spacing w:after="0" w:line="240" w:lineRule="auto"/>
            </w:pPr>
            <w:r>
              <w:rPr>
                <w:b/>
                <w:sz w:val="18"/>
              </w:rPr>
              <w:t>Axis purity</w:t>
            </w:r>
            <w:r>
              <w:rPr>
                <w:sz w:val="18"/>
              </w:rPr>
              <w:t xml:space="preserve"> (on-target − best off-target R²), mean</w:t>
            </w:r>
          </w:p>
        </w:tc>
        <w:tc>
          <w:tcPr>
            <w:tcW w:type="dxa" w:w="2880"/>
          </w:tcPr>
          <w:p>
            <w:pPr>
              <w:spacing w:after="0" w:line="240" w:lineRule="auto"/>
            </w:pPr>
            <w:r>
              <w:rPr>
                <w:b/>
                <w:sz w:val="18"/>
              </w:rPr>
              <w:t>−0.025</w:t>
            </w:r>
          </w:p>
        </w:tc>
        <w:tc>
          <w:tcPr>
            <w:tcW w:type="dxa" w:w="2880"/>
          </w:tcPr>
          <w:p>
            <w:pPr>
              <w:spacing w:after="0" w:line="240" w:lineRule="auto"/>
            </w:pPr>
            <w:r>
              <w:rPr>
                <w:sz w:val="18"/>
              </w:rPr>
              <w:t xml:space="preserve">A named axis typically predicts some </w:t>
            </w:r>
            <w:r>
              <w:rPr>
                <w:i/>
                <w:sz w:val="18"/>
              </w:rPr>
              <w:t>other</w:t>
            </w:r>
            <w:r>
              <w:rPr>
                <w:sz w:val="18"/>
              </w:rPr>
              <w:t xml:space="preserve"> construct as well or better</w:t>
            </w:r>
          </w:p>
        </w:tc>
      </w:tr>
      <w:tr>
        <w:tc>
          <w:tcPr>
            <w:tcW w:type="dxa" w:w="2880"/>
          </w:tcPr>
          <w:p>
            <w:pPr>
              <w:spacing w:after="0" w:line="240" w:lineRule="auto"/>
            </w:pPr>
            <w:r>
              <w:rPr>
                <w:sz w:val="18"/>
              </w:rPr>
              <w:t>Constructs with negative purity</w:t>
            </w:r>
          </w:p>
        </w:tc>
        <w:tc>
          <w:tcPr>
            <w:tcW w:type="dxa" w:w="2880"/>
          </w:tcPr>
          <w:p>
            <w:pPr>
              <w:spacing w:after="0" w:line="240" w:lineRule="auto"/>
            </w:pPr>
            <w:r>
              <w:rPr>
                <w:sz w:val="18"/>
              </w:rPr>
              <w:t>6 of 10</w:t>
            </w:r>
          </w:p>
        </w:tc>
        <w:tc>
          <w:tcPr>
            <w:tcW w:type="dxa" w:w="2880"/>
          </w:tcPr>
          <w:p>
            <w:pPr>
              <w:spacing w:after="0" w:line="240" w:lineRule="auto"/>
            </w:pPr>
            <w:r>
              <w:rPr>
                <w:sz w:val="18"/>
              </w:rPr>
              <w:t>Worst: frequency (−0.149), sweet-affinity (−0.174)</w:t>
            </w:r>
          </w:p>
        </w:tc>
      </w:tr>
      <w:tr>
        <w:tc>
          <w:tcPr>
            <w:tcW w:type="dxa" w:w="2880"/>
          </w:tcPr>
          <w:p>
            <w:pPr>
              <w:spacing w:after="0" w:line="240" w:lineRule="auto"/>
            </w:pPr>
            <w:r>
              <w:rPr>
                <w:sz w:val="18"/>
              </w:rPr>
              <w:t>Distinct winning dimensions for 10 constructs</w:t>
            </w:r>
          </w:p>
        </w:tc>
        <w:tc>
          <w:tcPr>
            <w:tcW w:type="dxa" w:w="2880"/>
          </w:tcPr>
          <w:p>
            <w:pPr>
              <w:spacing w:after="0" w:line="240" w:lineRule="auto"/>
            </w:pPr>
            <w:r>
              <w:rPr>
                <w:sz w:val="18"/>
              </w:rPr>
              <w:t>5.0</w:t>
            </w:r>
          </w:p>
        </w:tc>
        <w:tc>
          <w:tcPr>
            <w:tcW w:type="dxa" w:w="2880"/>
          </w:tcPr>
          <w:p>
            <w:pPr>
              <w:spacing w:after="0" w:line="240" w:lineRule="auto"/>
            </w:pPr>
            <w:r>
              <w:rPr>
                <w:sz w:val="18"/>
              </w:rPr>
              <w:t>Constructs compete for the same axes</w:t>
            </w:r>
          </w:p>
        </w:tc>
      </w:tr>
      <w:tr>
        <w:tc>
          <w:tcPr>
            <w:tcW w:type="dxa" w:w="2880"/>
          </w:tcPr>
          <w:p>
            <w:pPr>
              <w:spacing w:after="0" w:line="240" w:lineRule="auto"/>
            </w:pPr>
            <w:r>
              <w:rPr>
                <w:sz w:val="18"/>
              </w:rPr>
              <w:t>Free-block R², mean</w:t>
            </w:r>
          </w:p>
        </w:tc>
        <w:tc>
          <w:tcPr>
            <w:tcW w:type="dxa" w:w="2880"/>
          </w:tcPr>
          <w:p>
            <w:pPr>
              <w:spacing w:after="0" w:line="240" w:lineRule="auto"/>
            </w:pPr>
            <w:r>
              <w:rPr>
                <w:sz w:val="18"/>
              </w:rPr>
              <w:t>0.102</w:t>
            </w:r>
          </w:p>
        </w:tc>
        <w:tc>
          <w:tcPr>
            <w:tcW w:type="dxa" w:w="2880"/>
          </w:tcPr>
          <w:p>
            <w:pPr>
              <w:spacing w:after="0" w:line="240" w:lineRule="auto"/>
            </w:pPr>
            <w:r>
              <w:rPr>
                <w:sz w:val="18"/>
              </w:rPr>
              <w:t>Constructs stay inside the block: not side-channel leakage</w:t>
            </w:r>
          </w:p>
        </w:tc>
      </w:tr>
    </w:tbl>
    <w:p/>
    <w:p>
      <w:pPr>
        <w:jc w:val="center"/>
      </w:pPr>
      <w:r>
        <w:rPr>
          <w:b/>
        </w:rPr>
        <w:t>[Insert Figure 2 about here]</w:t>
      </w:r>
    </w:p>
    <w:p>
      <w:r>
        <w:rPr>
          <w:b/>
        </w:rPr>
        <w:t>E2 splits: supported at block level, not supported at axis level.</w:t>
      </w:r>
      <w:r>
        <w:t xml:space="preserve"> The failure is not the side-channel leakage documented by Mahinpei </w:t>
      </w:r>
      <w:r>
        <w:rPr>
          <w:i/>
        </w:rPr>
        <w:t>et al.</w:t>
      </w:r>
      <w:r>
        <w:t xml:space="preserve"> (2021) — the constructs remain inside the aligned block — but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 precisely the property CA-DVAE claims and, per Section 4.3, does not deliver.</w:t>
      </w:r>
    </w:p>
    <w:p>
      <w:pPr>
        <w:spacing w:line="240" w:lineRule="auto"/>
      </w:pPr>
      <w:r>
        <w:rPr>
          <w:b/>
        </w:rPr>
        <w:t>Table IV.</w:t>
      </w:r>
      <w:r>
        <w:t xml:space="preserve"> Named-axis control versus the swept model, Dataset A (test PR-AUC, six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0" w:line="240" w:lineRule="auto"/>
            </w:pPr>
            <w:r>
              <w:rPr>
                <w:b/>
                <w:sz w:val="18"/>
              </w:rPr>
              <w:t>Representation</w:t>
            </w:r>
          </w:p>
        </w:tc>
        <w:tc>
          <w:tcPr>
            <w:tcW w:type="dxa" w:w="2160"/>
          </w:tcPr>
          <w:p>
            <w:pPr>
              <w:spacing w:after="0" w:line="240" w:lineRule="auto"/>
            </w:pPr>
            <w:r>
              <w:rPr>
                <w:b/>
                <w:sz w:val="18"/>
              </w:rPr>
              <w:t>PR-AUC</w:t>
            </w:r>
          </w:p>
        </w:tc>
        <w:tc>
          <w:tcPr>
            <w:tcW w:type="dxa" w:w="2160"/>
          </w:tcPr>
          <w:p>
            <w:pPr>
              <w:spacing w:after="0" w:line="240" w:lineRule="auto"/>
            </w:pPr>
            <w:r>
              <w:rPr>
                <w:b/>
                <w:sz w:val="18"/>
              </w:rPr>
              <w:t>Named axes</w:t>
            </w:r>
          </w:p>
        </w:tc>
        <w:tc>
          <w:tcPr>
            <w:tcW w:type="dxa" w:w="2160"/>
          </w:tcPr>
          <w:p>
            <w:pPr>
              <w:spacing w:after="0" w:line="240" w:lineRule="auto"/>
            </w:pPr>
            <w:r>
              <w:rPr>
                <w:b/>
                <w:sz w:val="18"/>
              </w:rPr>
              <w:t>Training cost</w:t>
            </w:r>
          </w:p>
        </w:tc>
      </w:tr>
      <w:tr>
        <w:tc>
          <w:tcPr>
            <w:tcW w:type="dxa" w:w="2160"/>
          </w:tcPr>
          <w:p>
            <w:pPr>
              <w:spacing w:after="0" w:line="240" w:lineRule="auto"/>
            </w:pPr>
            <w:r>
              <w:rPr>
                <w:sz w:val="18"/>
              </w:rPr>
              <w:t>PCA (bar)</w:t>
            </w:r>
          </w:p>
        </w:tc>
        <w:tc>
          <w:tcPr>
            <w:tcW w:type="dxa" w:w="2160"/>
          </w:tcPr>
          <w:p>
            <w:pPr>
              <w:spacing w:after="0" w:line="240" w:lineRule="auto"/>
            </w:pPr>
            <w:r>
              <w:rPr>
                <w:sz w:val="18"/>
              </w:rPr>
              <w:t>0.5677 ± 0.0729</w:t>
            </w:r>
          </w:p>
        </w:tc>
        <w:tc>
          <w:tcPr>
            <w:tcW w:type="dxa" w:w="2160"/>
          </w:tcPr>
          <w:p>
            <w:pPr>
              <w:spacing w:after="0" w:line="240" w:lineRule="auto"/>
            </w:pPr>
            <w:r>
              <w:rPr>
                <w:sz w:val="18"/>
              </w:rPr>
              <w:t>none</w:t>
            </w:r>
          </w:p>
        </w:tc>
        <w:tc>
          <w:tcPr>
            <w:tcW w:type="dxa" w:w="2160"/>
          </w:tcPr>
          <w:p>
            <w:pPr>
              <w:spacing w:after="0" w:line="240" w:lineRule="auto"/>
            </w:pPr>
            <w:r>
              <w:rPr>
                <w:sz w:val="18"/>
              </w:rPr>
              <w:t>none</w:t>
            </w:r>
          </w:p>
        </w:tc>
      </w:tr>
      <w:tr>
        <w:tc>
          <w:tcPr>
            <w:tcW w:type="dxa" w:w="2160"/>
          </w:tcPr>
          <w:p>
            <w:pPr>
              <w:spacing w:after="0" w:line="240" w:lineRule="auto"/>
            </w:pPr>
            <w:r>
              <w:rPr>
                <w:b/>
                <w:sz w:val="18"/>
              </w:rPr>
              <w:t>Constructs + residual PCA</w:t>
            </w:r>
          </w:p>
        </w:tc>
        <w:tc>
          <w:tcPr>
            <w:tcW w:type="dxa" w:w="2160"/>
          </w:tcPr>
          <w:p>
            <w:pPr>
              <w:spacing w:after="0" w:line="240" w:lineRule="auto"/>
            </w:pPr>
            <w:r>
              <w:rPr>
                <w:b/>
                <w:sz w:val="18"/>
              </w:rPr>
              <w:t>0.5438 ± 0.0640</w:t>
            </w:r>
          </w:p>
        </w:tc>
        <w:tc>
          <w:tcPr>
            <w:tcW w:type="dxa" w:w="2160"/>
          </w:tcPr>
          <w:p>
            <w:pPr>
              <w:spacing w:after="0" w:line="240" w:lineRule="auto"/>
            </w:pPr>
            <w:r>
              <w:rPr>
                <w:sz w:val="18"/>
              </w:rPr>
              <w:t>10, R² = 1 by construction</w:t>
            </w:r>
          </w:p>
        </w:tc>
        <w:tc>
          <w:tcPr>
            <w:tcW w:type="dxa" w:w="2160"/>
          </w:tcPr>
          <w:p>
            <w:pPr>
              <w:spacing w:after="0" w:line="240" w:lineRule="auto"/>
            </w:pPr>
            <w:r>
              <w:rPr>
                <w:b/>
                <w:sz w:val="18"/>
              </w:rPr>
              <w:t>none</w:t>
            </w:r>
          </w:p>
        </w:tc>
      </w:tr>
      <w:tr>
        <w:tc>
          <w:tcPr>
            <w:tcW w:type="dxa" w:w="2160"/>
          </w:tcPr>
          <w:p>
            <w:pPr>
              <w:spacing w:after="0" w:line="240" w:lineRule="auto"/>
            </w:pPr>
            <w:r>
              <w:rPr>
                <w:sz w:val="18"/>
              </w:rPr>
              <w:t>CA-DVAE</w:t>
            </w:r>
          </w:p>
        </w:tc>
        <w:tc>
          <w:tcPr>
            <w:tcW w:type="dxa" w:w="2160"/>
          </w:tcPr>
          <w:p>
            <w:pPr>
              <w:spacing w:after="0" w:line="240" w:lineRule="auto"/>
            </w:pPr>
            <w:r>
              <w:rPr>
                <w:sz w:val="18"/>
              </w:rPr>
              <w:t>0.5130 ± 0.0597</w:t>
            </w:r>
          </w:p>
        </w:tc>
        <w:tc>
          <w:tcPr>
            <w:tcW w:type="dxa" w:w="2160"/>
          </w:tcPr>
          <w:p>
            <w:pPr>
              <w:spacing w:after="0" w:line="240" w:lineRule="auto"/>
            </w:pPr>
            <w:r>
              <w:rPr>
                <w:sz w:val="18"/>
              </w:rPr>
              <w:t>10, mean axis R² 0.406</w:t>
            </w:r>
          </w:p>
        </w:tc>
        <w:tc>
          <w:tcPr>
            <w:tcW w:type="dxa" w:w="2160"/>
          </w:tcPr>
          <w:p>
            <w:pPr>
              <w:spacing w:after="0" w:line="240" w:lineRule="auto"/>
            </w:pPr>
            <w:r>
              <w:rPr>
                <w:sz w:val="18"/>
              </w:rPr>
              <w:t>144-run sweep</w:t>
            </w:r>
          </w:p>
        </w:tc>
      </w:tr>
      <w:tr>
        <w:tc>
          <w:tcPr>
            <w:tcW w:type="dxa" w:w="2160"/>
          </w:tcPr>
          <w:p>
            <w:pPr>
              <w:spacing w:after="0" w:line="240" w:lineRule="auto"/>
            </w:pPr>
            <w:r>
              <w:rPr>
                <w:sz w:val="18"/>
              </w:rPr>
              <w:t>Constructs alone</w:t>
            </w:r>
          </w:p>
        </w:tc>
        <w:tc>
          <w:tcPr>
            <w:tcW w:type="dxa" w:w="2160"/>
          </w:tcPr>
          <w:p>
            <w:pPr>
              <w:spacing w:after="0" w:line="240" w:lineRule="auto"/>
            </w:pPr>
            <w:r>
              <w:rPr>
                <w:sz w:val="18"/>
              </w:rPr>
              <w:t>0.4129 ± 0.0650</w:t>
            </w:r>
          </w:p>
        </w:tc>
        <w:tc>
          <w:tcPr>
            <w:tcW w:type="dxa" w:w="2160"/>
          </w:tcPr>
          <w:p>
            <w:pPr>
              <w:spacing w:after="0" w:line="240" w:lineRule="auto"/>
            </w:pPr>
            <w:r>
              <w:rPr>
                <w:sz w:val="18"/>
              </w:rPr>
              <w:t>10, R² = 1 by construction</w:t>
            </w:r>
          </w:p>
        </w:tc>
        <w:tc>
          <w:tcPr>
            <w:tcW w:type="dxa" w:w="2160"/>
          </w:tcPr>
          <w:p>
            <w:pPr>
              <w:spacing w:after="0" w:line="240" w:lineRule="auto"/>
            </w:pPr>
            <w:r>
              <w:rPr>
                <w:sz w:val="18"/>
              </w:rPr>
              <w:t>none</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0" w:line="240" w:lineRule="auto"/>
            </w:pPr>
            <w:r>
              <w:rPr>
                <w:b/>
                <w:sz w:val="18"/>
              </w:rPr>
              <w:t>Paired comparison</w:t>
            </w:r>
          </w:p>
        </w:tc>
        <w:tc>
          <w:tcPr>
            <w:tcW w:type="dxa" w:w="1728"/>
          </w:tcPr>
          <w:p>
            <w:pPr>
              <w:spacing w:after="0" w:line="240" w:lineRule="auto"/>
            </w:pPr>
            <w:r>
              <w:rPr>
                <w:b/>
                <w:sz w:val="18"/>
              </w:rPr>
              <w:t>Δ</w:t>
            </w:r>
          </w:p>
        </w:tc>
        <w:tc>
          <w:tcPr>
            <w:tcW w:type="dxa" w:w="1728"/>
          </w:tcPr>
          <w:p>
            <w:pPr>
              <w:spacing w:after="0" w:line="240" w:lineRule="auto"/>
            </w:pPr>
            <w:r>
              <w:rPr>
                <w:b/>
                <w:sz w:val="18"/>
              </w:rPr>
              <w:t xml:space="preserve">Cohen's </w:t>
            </w:r>
            <w:r>
              <w:rPr>
                <w:b/>
                <w:i/>
                <w:sz w:val="18"/>
              </w:rPr>
              <w:t>d_z</w:t>
            </w:r>
          </w:p>
        </w:tc>
        <w:tc>
          <w:tcPr>
            <w:tcW w:type="dxa" w:w="1728"/>
          </w:tcPr>
          <w:p>
            <w:pPr>
              <w:spacing w:after="0" w:line="240" w:lineRule="auto"/>
            </w:pPr>
            <w:r>
              <w:rPr>
                <w:b/>
                <w:i/>
                <w:sz w:val="18"/>
              </w:rPr>
              <w:t>t</w:t>
            </w:r>
          </w:p>
        </w:tc>
        <w:tc>
          <w:tcPr>
            <w:tcW w:type="dxa" w:w="1728"/>
          </w:tcPr>
          <w:p>
            <w:pPr>
              <w:spacing w:after="0" w:line="240" w:lineRule="auto"/>
            </w:pPr>
            <w:r>
              <w:rPr>
                <w:b/>
                <w:sz w:val="18"/>
              </w:rPr>
              <w:t>Holm-adj.</w:t>
            </w:r>
          </w:p>
        </w:tc>
      </w:tr>
      <w:tr>
        <w:tc>
          <w:tcPr>
            <w:tcW w:type="dxa" w:w="1728"/>
          </w:tcPr>
          <w:p>
            <w:pPr>
              <w:spacing w:after="0" w:line="240" w:lineRule="auto"/>
            </w:pPr>
            <w:r>
              <w:rPr>
                <w:sz w:val="18"/>
              </w:rPr>
              <w:t>Control − CA-DVAE</w:t>
            </w:r>
          </w:p>
        </w:tc>
        <w:tc>
          <w:tcPr>
            <w:tcW w:type="dxa" w:w="1728"/>
          </w:tcPr>
          <w:p>
            <w:pPr>
              <w:spacing w:after="0" w:line="240" w:lineRule="auto"/>
            </w:pPr>
            <w:r>
              <w:rPr>
                <w:sz w:val="18"/>
              </w:rPr>
              <w:t>+0.031</w:t>
            </w:r>
          </w:p>
        </w:tc>
        <w:tc>
          <w:tcPr>
            <w:tcW w:type="dxa" w:w="1728"/>
          </w:tcPr>
          <w:p>
            <w:pPr>
              <w:spacing w:after="0" w:line="240" w:lineRule="auto"/>
            </w:pPr>
            <w:r>
              <w:rPr>
                <w:sz w:val="18"/>
              </w:rPr>
              <w:t>+0.82</w:t>
            </w:r>
          </w:p>
        </w:tc>
        <w:tc>
          <w:tcPr>
            <w:tcW w:type="dxa" w:w="1728"/>
          </w:tcPr>
          <w:p>
            <w:pPr>
              <w:spacing w:after="0" w:line="240" w:lineRule="auto"/>
            </w:pPr>
            <w:r>
              <w:rPr>
                <w:sz w:val="18"/>
              </w:rPr>
              <w:t>0.099</w:t>
            </w:r>
          </w:p>
        </w:tc>
        <w:tc>
          <w:tcPr>
            <w:tcW w:type="dxa" w:w="1728"/>
          </w:tcPr>
          <w:p>
            <w:pPr>
              <w:spacing w:after="0" w:line="240" w:lineRule="auto"/>
            </w:pPr>
            <w:r>
              <w:rPr>
                <w:sz w:val="18"/>
              </w:rPr>
              <w:t>0.199</w:t>
            </w:r>
          </w:p>
        </w:tc>
      </w:tr>
      <w:tr>
        <w:tc>
          <w:tcPr>
            <w:tcW w:type="dxa" w:w="1728"/>
          </w:tcPr>
          <w:p>
            <w:pPr>
              <w:spacing w:after="0" w:line="240" w:lineRule="auto"/>
            </w:pPr>
            <w:r>
              <w:rPr>
                <w:sz w:val="18"/>
              </w:rPr>
              <w:t>Control − constructs alone</w:t>
            </w:r>
          </w:p>
        </w:tc>
        <w:tc>
          <w:tcPr>
            <w:tcW w:type="dxa" w:w="1728"/>
          </w:tcPr>
          <w:p>
            <w:pPr>
              <w:spacing w:after="0" w:line="240" w:lineRule="auto"/>
            </w:pPr>
            <w:r>
              <w:rPr>
                <w:sz w:val="18"/>
              </w:rPr>
              <w:t>+0.131</w:t>
            </w:r>
          </w:p>
        </w:tc>
        <w:tc>
          <w:tcPr>
            <w:tcW w:type="dxa" w:w="1728"/>
          </w:tcPr>
          <w:p>
            <w:pPr>
              <w:spacing w:after="0" w:line="240" w:lineRule="auto"/>
            </w:pPr>
            <w:r>
              <w:rPr>
                <w:sz w:val="18"/>
              </w:rPr>
              <w:t>+5.46</w:t>
            </w:r>
          </w:p>
        </w:tc>
        <w:tc>
          <w:tcPr>
            <w:tcW w:type="dxa" w:w="1728"/>
          </w:tcPr>
          <w:p>
            <w:pPr>
              <w:spacing w:after="0" w:line="240" w:lineRule="auto"/>
            </w:pPr>
            <w:r>
              <w:rPr>
                <w:sz w:val="18"/>
              </w:rPr>
              <w:t>4 × 10⁻⁵</w:t>
            </w:r>
          </w:p>
        </w:tc>
        <w:tc>
          <w:tcPr>
            <w:tcW w:type="dxa" w:w="1728"/>
          </w:tcPr>
          <w:p>
            <w:pPr>
              <w:spacing w:after="0" w:line="240" w:lineRule="auto"/>
            </w:pPr>
            <w:r>
              <w:rPr>
                <w:b/>
                <w:sz w:val="18"/>
              </w:rPr>
              <w:t>1.3 × 10⁻⁴</w:t>
            </w:r>
          </w:p>
        </w:tc>
      </w:tr>
    </w:tbl>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free capacity alongside them does necessary work. That supports the aligned/free decomposition — but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 so each task is judged against its own strongest competitor.</w:t>
      </w:r>
    </w:p>
    <w:p>
      <w:r>
        <w:t>Against those bars, the aligned model wins dormancy prediction in both test families (0.8632 versus 0.8620), which in business terms is approximately twelve additional dormant customers identified per ten thousand contacted. The effect is tight across seeds and genuinely small, and we report it at exactly that size rather than as evidence of general superiority. Next-category prediction is a loss, not a parity: the seed-to-seed instability observed in the unregularised autoencoder on that task is not cured by construct anchoring.</w:t>
      </w:r>
    </w:p>
    <w:p>
      <w:r>
        <w:t>Two results support the design rather than the model. First, the twelve aligned dimensions alone carry as much downstream signal as the autoencoder's entire unnamed embedding, and on the survey dataset the aligned block alone beats raw RFM — so the named subspace is predictively load-bearing, not a label attached to a black box. Second,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stated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each changes the measured outcome, and each has its own ablation. But the direction is unflattering to the design. The alignment component </w:t>
      </w:r>
      <w:r>
        <w:rPr>
          <w:i/>
        </w:rPr>
        <w:t>costs</w:t>
      </w:r>
      <w:r>
        <w:t xml:space="preserve"> primary lift while supplying the interpretability the study is about, and the disentanglement component costs lift without a compensating measured benefit in this setting. Read alongside Section 4.4, the honest summary is that the aligned/free </w:t>
      </w:r>
      <w:r>
        <w:rPr>
          <w:i/>
        </w:rPr>
        <w:t>structure</w:t>
      </w:r>
      <w:r>
        <w:t xml:space="preserve"> is worth keeping and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 which RFM cannot represent at all — a learned representation is necessary. For maximum accuracy irrespective of explanation, use the raw feature vector with a tree-based model;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This is the practical implication we would emphasise. Interpretability was the stated motivation for construct alignment, and it is precisely where the neural approach was matched by arithmetic on features the organisation already has.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 the two approaches most commonly proposed as improvements on RFM —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costliest thing an organisation can do here is not choosing the wrong representation; it is choosing without measurement and then being unable to tell. Every result in this study came from infrastructure that is modest by modern standards — the entire experimental programme, 288 sweep runs included, consumed under nine GPU-hours — while the measurement discipline that produced the findings costs nothing but protocol: hold the representation out of the labels, repeat across seeds, fix the bar before running the proposed method, and report the comparison you pre-specified rather than the one that looks best afterwards. An organisation that adopts only the protocol and none of the models will still be better off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And do not accept an aggregate alignment score as evidence that a dimension is nameable —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not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(448 rows), making PR-AUC genuinely variable. The price-sensitivity construct on Dataset B measures browsed price tier rather than discount responsiveness, as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 reproducible today, still valid next quarter —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at https://github.com/Vittal-Mukunda/measurable-buyer-personas; reported results reproduce bit-exactly from the committed configurations and seeds.</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