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jc w:val="center"/>
      </w:pPr>
      <w:r>
        <w:rPr>
          <w:b/>
        </w:rPr>
        <w:t>[Insert Table II about here]</w:t>
      </w:r>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is that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Proceedings of the 37th International Conference on Machine Learning</w:t>
      </w:r>
      <w:r>
        <w:t>, PMLR 119, pp.5338-5348.</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Proceedings of the 36th International Conference on Machine Learning</w:t>
      </w:r>
      <w:r>
        <w:t>, PMLR 97, pp.4114-4124.</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Proceedings of the 38th International Conference on Machine Learning</w:t>
      </w:r>
      <w:r>
        <w:t>, PMLR 139, pp.10401-10412.</w:t>
      </w:r>
    </w:p>
    <w:p>
      <w:r>
        <w:t xml:space="preserve">Xie, J., Girshick, R. and Farhadi, A. (2016), "Unsupervised deep embedding for clustering analysis", </w:t>
      </w:r>
      <w:r>
        <w:rPr>
          <w:i/>
        </w:rPr>
        <w:t>Proceedings of the 33rd International Conference on Machine Learning</w:t>
      </w:r>
      <w:r>
        <w:t>, PMLR 48,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