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Tables</w:t>
      </w:r>
    </w:p>
    <w:p>
      <w:r>
        <w:rPr>
          <w:b/>
        </w:rPr>
        <w:t xml:space="preserve">Table I. </w:t>
      </w:r>
      <w:r>
        <w:t>Downstream performance of customer representations (test PR-AUC, gradient-boosted head, six seeds)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Representation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Dataset A (base rate 0.149)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Dataset B (base rate 0.033)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Raw features (ceiling)*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0.6066 ± 0.0749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0.2038 ± 0.0042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PCA (d = 16)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0.5677 ± 0.0729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0.1649 ± 0.0073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RFM (3 features)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0.3396 ± 0.0462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0.1953 ± 0.0035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Autoencoder (d = 16)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0.5156 ± 0.0682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0.1723 ± 0.0021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Gaussian mixture on AE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0.3973 ± 0.0615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0.1148 ± 0.0048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Deep embedded clustering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0.3483 ± 0.0465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0.0819 ± 0.0051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AE + k-means personas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0.3343 ± 0.0543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0.0672 ± 0.0071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RFM + k-means personas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0.2988 ± 0.0182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0.1073 ± 0.0064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CA-DVAE (validation-selected)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0.5130 ± 0.0597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0.1798 ± 0.0051</w:t>
            </w:r>
          </w:p>
        </w:tc>
      </w:tr>
    </w:tbl>
    <w:p/>
    <w:p>
      <w:r>
        <w:rPr>
          <w:b/>
        </w:rPr>
        <w:t xml:space="preserve">Table II. </w:t>
      </w:r>
      <w:r>
        <w:t>Cross-seed persona stability (adjusted Rand index, eight clusters, six seeds)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Persona pipeline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Dataset 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Dataset B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RFM + k-means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0.975 ± 0.011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0.962 ± 0.033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AE + k-means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0.703 ± 0.068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0.745 ± 0.037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CA-DVAE, moderate alignment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0.64 to 0.70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0.58 to 0.73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CA-DVAE at the selected point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0.467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0.583</w:t>
            </w:r>
          </w:p>
        </w:tc>
      </w:tr>
    </w:tbl>
    <w:p/>
    <w:p>
      <w:r>
        <w:rPr>
          <w:b/>
        </w:rPr>
        <w:t xml:space="preserve">Table III. </w:t>
      </w:r>
      <w:r>
        <w:t>Concept-leakage diagnostic, Dataset A at the selected operating point (10 aligned and 6 free dimensions, six seeds)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Reading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 xml:space="preserve">Aligned </w:t>
            </w:r>
            <w:r>
              <w:rPr>
                <w:b/>
                <w:sz w:val="18"/>
              </w:rPr>
              <w:t>block</w:t>
            </w:r>
            <w:r>
              <w:rPr>
                <w:sz w:val="18"/>
              </w:rPr>
              <w:t xml:space="preserve"> R², mean over constructs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0.873 (RFM 0.985 to 0.989)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The block encodes the constructs almost perfectly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 xml:space="preserve">Best </w:t>
            </w:r>
            <w:r>
              <w:rPr>
                <w:b/>
                <w:sz w:val="18"/>
              </w:rPr>
              <w:t>single-axis</w:t>
            </w:r>
            <w:r>
              <w:rPr>
                <w:sz w:val="18"/>
              </w:rPr>
              <w:t xml:space="preserve"> R², mean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0.406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No individual axis carries a construct strongly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Axis purity</w:t>
            </w:r>
            <w:r>
              <w:rPr>
                <w:sz w:val="18"/>
              </w:rPr>
              <w:t xml:space="preserve"> (on-target minus best off-target R²), mean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8"/>
              </w:rPr>
              <w:t>−0.025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 xml:space="preserve">A named axis typically predicts some </w:t>
            </w:r>
            <w:r>
              <w:rPr>
                <w:i/>
                <w:sz w:val="18"/>
              </w:rPr>
              <w:t>other</w:t>
            </w:r>
            <w:r>
              <w:rPr>
                <w:sz w:val="18"/>
              </w:rPr>
              <w:t xml:space="preserve"> construct as well or better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Constructs with negative purity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6 of 10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Worst: frequency (−0.149), sweet-affinity (−0.174)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Distinct winning dimensions for 10 constructs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5.0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Constructs compete for the same axes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Free-block R², mean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0.102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8"/>
              </w:rPr>
              <w:t>Constructs stay inside the block, so this is not side-channel leakage</w:t>
            </w:r>
          </w:p>
        </w:tc>
      </w:tr>
    </w:tbl>
    <w:p/>
    <w:p>
      <w:r>
        <w:rPr>
          <w:b/>
        </w:rPr>
        <w:t xml:space="preserve">Table IV. </w:t>
      </w:r>
      <w:r>
        <w:t>Named-axis control versus the swept model, Dataset A (test PR-AUC, six seeds)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Representation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PR-AUC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Named axes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Training cost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PCA (bar)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0.5677 ± 0.0729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Constructs + residual PCA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0.5438 ± 0.0640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10, R² = 1 by construction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CA-DVAE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0.5130 ± 0.0597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10, mean axis R² 0.406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144-run sweep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Constructs alone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0.4129 ± 0.0650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10, R² = 1 by construction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 xml:space="preserve">Table V.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8"/>
              </w:rPr>
              <w:t>Paired comparison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8"/>
              </w:rPr>
              <w:t>Δ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Cohen's </w:t>
            </w:r>
            <w:r>
              <w:rPr>
                <w:b/>
                <w:i/>
                <w:sz w:val="18"/>
              </w:rPr>
              <w:t>d_z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>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8"/>
              </w:rPr>
              <w:t>Holm-adj.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Control minus CA-DVAE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+0.031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+0.82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0.099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0.199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Control minus constructs alone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+0.131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+5.46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4 × 10⁻⁵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  <w:sz w:val="18"/>
              </w:rPr>
              <w:t>1.3 × 10⁻⁴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