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6FA31B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Comprehensive Analysis of Model's Visualizations</w:t>
      </w:r>
      <w:r/>
    </w:p>
    <w:p w14:paraId="170F75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501D078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Top 20 Features by SHAP Importance (Bar Chart)</w:t>
      </w:r>
      <w:r/>
    </w:p>
    <w:p w14:paraId="53608B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tells you </w:t>
      </w:r>
      <w:r>
        <w:rPr>
          <w:rFonts w:ascii="Times New Roman" w:hAnsi="Times New Roman" w:eastAsia="Times New Roman" w:cs="Times New Roman"/>
          <w:b/>
          <w:color w:val="000000"/>
          <w:sz w:val="24"/>
        </w:rPr>
        <w:t xml:space="preserve">which features matter most</w:t>
      </w:r>
      <w:r>
        <w:rPr>
          <w:rFonts w:ascii="Times New Roman" w:hAnsi="Times New Roman" w:eastAsia="Times New Roman" w:cs="Times New Roman"/>
          <w:color w:val="000000"/>
          <w:sz w:val="24"/>
        </w:rPr>
        <w:t xml:space="preserve"> to your CatBoost referral model, ranked by their average impact.</w:t>
      </w:r>
      <w:r/>
    </w:p>
    <w:p w14:paraId="7B088D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clear winners are </w:t>
      </w:r>
      <w:r>
        <w:rPr>
          <w:rFonts w:ascii="Times New Roman" w:hAnsi="Times New Roman" w:eastAsia="Times New Roman" w:cs="Times New Roman"/>
          <w:b/>
          <w:color w:val="000000"/>
          <w:sz w:val="24"/>
        </w:rPr>
        <w:t xml:space="preserve">fp (fetal presentation), ac (abdominal circumference), fl (femur length), and hc (head circumference)</w:t>
      </w:r>
      <w:r>
        <w:rPr>
          <w:rFonts w:ascii="Times New Roman" w:hAnsi="Times New Roman" w:eastAsia="Times New Roman" w:cs="Times New Roman"/>
          <w:color w:val="000000"/>
          <w:sz w:val="24"/>
        </w:rPr>
        <w:t xml:space="preserve"> — and by a significant margin. These four dominate all other features. This makes strong clinical sense: fetal biometric measurements and presentation directly reflect fetal wellbeing and delivery risk.</w:t>
      </w:r>
      <w:r/>
    </w:p>
    <w:p w14:paraId="1CB525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drop-off after hc is steep — hb, ala, wks, trdt cluster together in the mid-tier, followed by a long tail of features like ur, bpd, pl, map, an, dbp, age, etc. that contribute meaningfully but less dramatically.</w:t>
      </w:r>
      <w:r/>
    </w:p>
    <w:p w14:paraId="262310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We can Say - </w:t>
      </w:r>
      <w:r>
        <w:rPr>
          <w:rFonts w:ascii="Times New Roman" w:hAnsi="Times New Roman" w:eastAsia="Times New Roman" w:cs="Times New Roman"/>
          <w:i/>
          <w:color w:val="000000"/>
          <w:sz w:val="24"/>
        </w:rPr>
        <w:t xml:space="preserve">"The model has independently learned that fetal biometrics are the strongest predictors of referral need, which validates the model's clinical alignment without us hardcoding any domain knowledge."</w:t>
      </w:r>
      <w:r/>
    </w:p>
    <w:p w14:paraId="49AED4E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SHAP Summary Plot (Beeswarm)</w:t>
      </w:r>
      <w:r/>
    </w:p>
    <w:p w14:paraId="003672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richest single plot. It tells you </w:t>
      </w:r>
      <w:r>
        <w:rPr>
          <w:rFonts w:ascii="Times New Roman" w:hAnsi="Times New Roman" w:eastAsia="Times New Roman" w:cs="Times New Roman"/>
          <w:b/>
          <w:color w:val="000000"/>
          <w:sz w:val="24"/>
        </w:rPr>
        <w:t xml:space="preserve">not just which features matter, but HOW they matter</w:t>
      </w:r>
      <w:r>
        <w:rPr>
          <w:rFonts w:ascii="Times New Roman" w:hAnsi="Times New Roman" w:eastAsia="Times New Roman" w:cs="Times New Roman"/>
          <w:color w:val="000000"/>
          <w:sz w:val="24"/>
        </w:rPr>
        <w:t xml:space="preserve"> — the direction and magnitude for each individual patient.</w:t>
      </w:r>
      <w:r/>
    </w:p>
    <w:p w14:paraId="23FAC4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Key observations:</w:t>
      </w:r>
      <w:r/>
    </w:p>
    <w:p w14:paraId="184789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fp (fetal presentation)</w:t>
      </w:r>
      <w:r>
        <w:rPr>
          <w:rFonts w:ascii="Times New Roman" w:hAnsi="Times New Roman" w:eastAsia="Times New Roman" w:cs="Times New Roman"/>
          <w:color w:val="000000"/>
          <w:sz w:val="24"/>
        </w:rPr>
        <w:t xml:space="preserve"> shows a striking right-skewed tail with high-value (red) points pushing strongly positive — meaning certain fetal positions (likely breech/transverse) dramatically increase referral probability. The gray/clustered mass near zero suggests that "normal" pre</w:t>
      </w:r>
      <w:r>
        <w:rPr>
          <w:rFonts w:ascii="Times New Roman" w:hAnsi="Times New Roman" w:eastAsia="Times New Roman" w:cs="Times New Roman"/>
          <w:color w:val="000000"/>
          <w:sz w:val="24"/>
        </w:rPr>
        <w:t xml:space="preserve">sentation contributes very little, but abnormal presentation is a strong red flag.</w:t>
      </w:r>
      <w:r/>
    </w:p>
    <w:p w14:paraId="35D91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 fl, hc</w:t>
      </w:r>
      <w:r>
        <w:rPr>
          <w:rFonts w:ascii="Times New Roman" w:hAnsi="Times New Roman" w:eastAsia="Times New Roman" w:cs="Times New Roman"/>
          <w:color w:val="000000"/>
          <w:sz w:val="24"/>
        </w:rPr>
        <w:t xml:space="preserve"> show a gradient pattern where </w:t>
      </w:r>
      <w:r>
        <w:rPr>
          <w:rFonts w:ascii="Times New Roman" w:hAnsi="Times New Roman" w:eastAsia="Times New Roman" w:cs="Times New Roman"/>
          <w:b/>
          <w:color w:val="000000"/>
          <w:sz w:val="24"/>
        </w:rPr>
        <w:t xml:space="preserve">low values (blue) push positive</w:t>
      </w:r>
      <w:r>
        <w:rPr>
          <w:rFonts w:ascii="Times New Roman" w:hAnsi="Times New Roman" w:eastAsia="Times New Roman" w:cs="Times New Roman"/>
          <w:color w:val="000000"/>
          <w:sz w:val="24"/>
        </w:rPr>
        <w:t xml:space="preserve"> (increase referral risk) and </w:t>
      </w:r>
      <w:r>
        <w:rPr>
          <w:rFonts w:ascii="Times New Roman" w:hAnsi="Times New Roman" w:eastAsia="Times New Roman" w:cs="Times New Roman"/>
          <w:b/>
          <w:color w:val="000000"/>
          <w:sz w:val="24"/>
        </w:rPr>
        <w:t xml:space="preserve">high values (red) push negative</w:t>
      </w:r>
      <w:r>
        <w:rPr>
          <w:rFonts w:ascii="Times New Roman" w:hAnsi="Times New Roman" w:eastAsia="Times New Roman" w:cs="Times New Roman"/>
          <w:color w:val="000000"/>
          <w:sz w:val="24"/>
        </w:rPr>
        <w:t xml:space="preserve"> (reduce risk). This is clinically perfect — smaller-than-expected fetal measurements = higher risk = refer.</w:t>
      </w:r>
      <w:r/>
    </w:p>
    <w:p w14:paraId="5F6BA0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hb (hemoglobin)</w:t>
      </w:r>
      <w:r>
        <w:rPr>
          <w:rFonts w:ascii="Times New Roman" w:hAnsi="Times New Roman" w:eastAsia="Times New Roman" w:cs="Times New Roman"/>
          <w:color w:val="000000"/>
          <w:sz w:val="24"/>
        </w:rPr>
        <w:t xml:space="preserve"> is interesting — red (high hb) points are on the positive side while blue points cluster left. This might seem counterintuitive but could reflect that very high hb can signal polycythemia or other complications.</w:t>
      </w:r>
      <w:r/>
    </w:p>
    <w:p w14:paraId="595FBC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ala (amniotic fluid/AFI)</w:t>
      </w:r>
      <w:r>
        <w:rPr>
          <w:rFonts w:ascii="Times New Roman" w:hAnsi="Times New Roman" w:eastAsia="Times New Roman" w:cs="Times New Roman"/>
          <w:color w:val="000000"/>
          <w:sz w:val="24"/>
        </w:rPr>
        <w:t xml:space="preserve"> shows red dots extending far right — high AFI values push toward referral, which aligns with polyhydramnios being a risk factor.</w:t>
      </w:r>
      <w:r/>
    </w:p>
    <w:p w14:paraId="005D95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trdt, ur, pl, an</w:t>
      </w:r>
      <w:r>
        <w:rPr>
          <w:rFonts w:ascii="Times New Roman" w:hAnsi="Times New Roman" w:eastAsia="Times New Roman" w:cs="Times New Roman"/>
          <w:color w:val="000000"/>
          <w:sz w:val="24"/>
        </w:rPr>
        <w:t xml:space="preserve"> appear mostly gray, suggesting these are likely categorical or binary features with limited spread.</w:t>
      </w:r>
      <w:r/>
    </w:p>
    <w:p w14:paraId="022271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We can Say -</w:t>
      </w:r>
      <w:r/>
      <w:r>
        <w:rPr>
          <w:rFonts w:ascii="Times New Roman" w:hAnsi="Times New Roman" w:eastAsia="Times New Roman" w:cs="Times New Roman"/>
          <w:b/>
          <w:color w:val="000000"/>
          <w:sz w:val="24"/>
        </w:rPr>
        <w:t xml:space="preserve"> </w:t>
      </w:r>
      <w:r>
        <w:rPr>
          <w:rFonts w:ascii="Times New Roman" w:hAnsi="Times New Roman" w:eastAsia="Times New Roman" w:cs="Times New Roman"/>
          <w:i/>
          <w:color w:val="000000"/>
          <w:sz w:val="24"/>
        </w:rPr>
        <w:t xml:space="preserve">"The beeswarm plot confirms the model has learned clinically coherent directional relationships — low biometrics increase risk, abnormal presentations spike risk, and the feature interactions are medically interpretable."</w:t>
      </w:r>
      <w:r/>
    </w:p>
    <w:p w14:paraId="19A8B43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SHAP Force Plot — HIGH RISK Case (Prob = 0.919)</w:t>
      </w:r>
      <w:r/>
    </w:p>
    <w:p w14:paraId="52856B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shows a </w:t>
      </w:r>
      <w:r>
        <w:rPr>
          <w:rFonts w:ascii="Times New Roman" w:hAnsi="Times New Roman" w:eastAsia="Times New Roman" w:cs="Times New Roman"/>
          <w:b/>
          <w:color w:val="000000"/>
          <w:sz w:val="24"/>
        </w:rPr>
        <w:t xml:space="preserve">specific patient</w:t>
      </w:r>
      <w:r>
        <w:rPr>
          <w:rFonts w:ascii="Times New Roman" w:hAnsi="Times New Roman" w:eastAsia="Times New Roman" w:cs="Times New Roman"/>
          <w:color w:val="000000"/>
          <w:sz w:val="24"/>
        </w:rPr>
        <w:t xml:space="preserve"> the model flagged as 91.9% likely to need referral.</w:t>
      </w:r>
      <w:r/>
    </w:p>
    <w:p w14:paraId="390164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dominant drivers pushing this patient toward referral (shown in pink/red, pushing right) are:</w:t>
      </w:r>
      <w:r/>
    </w:p>
    <w:p w14:paraId="32044DB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bpd = 53.0</w:t>
      </w:r>
      <w:r>
        <w:rPr>
          <w:rFonts w:ascii="Times New Roman" w:hAnsi="Times New Roman" w:eastAsia="Times New Roman" w:cs="Times New Roman"/>
          <w:color w:val="000000"/>
          <w:sz w:val="24"/>
        </w:rPr>
        <w:t xml:space="preserve"> (small biparietal diameter — growth concern)</w:t>
      </w:r>
      <w:r/>
    </w:p>
    <w:p w14:paraId="037564A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 = 265.0</w:t>
      </w:r>
      <w:r>
        <w:rPr>
          <w:rFonts w:ascii="Times New Roman" w:hAnsi="Times New Roman" w:eastAsia="Times New Roman" w:cs="Times New Roman"/>
          <w:color w:val="000000"/>
          <w:sz w:val="24"/>
        </w:rPr>
        <w:t xml:space="preserve"> (abdominal circumference — possibly low for gestational age)</w:t>
      </w:r>
      <w:r/>
    </w:p>
    <w:p w14:paraId="5395DE6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hb = 10.5</w:t>
      </w:r>
      <w:r>
        <w:rPr>
          <w:rFonts w:ascii="Times New Roman" w:hAnsi="Times New Roman" w:eastAsia="Times New Roman" w:cs="Times New Roman"/>
          <w:color w:val="000000"/>
          <w:sz w:val="24"/>
        </w:rPr>
        <w:t xml:space="preserve"> (mild anemia)</w:t>
      </w:r>
      <w:r/>
    </w:p>
    <w:p w14:paraId="2D8F03F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an = 1</w:t>
      </w:r>
      <w:r>
        <w:rPr>
          <w:rFonts w:ascii="Times New Roman" w:hAnsi="Times New Roman" w:eastAsia="Times New Roman" w:cs="Times New Roman"/>
          <w:color w:val="000000"/>
          <w:sz w:val="24"/>
        </w:rPr>
        <w:t xml:space="preserve"> (anemia flag present)</w:t>
      </w:r>
      <w:r/>
    </w:p>
    <w:p w14:paraId="47A3057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fp = breech</w:t>
      </w:r>
      <w:r>
        <w:rPr>
          <w:rFonts w:ascii="Times New Roman" w:hAnsi="Times New Roman" w:eastAsia="Times New Roman" w:cs="Times New Roman"/>
          <w:color w:val="000000"/>
          <w:sz w:val="24"/>
        </w:rPr>
        <w:t xml:space="preserve"> (abnormal fetal presentation — this is huge clinically)</w:t>
      </w:r>
      <w:r/>
    </w:p>
    <w:p w14:paraId="780F4E2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fh = absent</w:t>
      </w:r>
      <w:r>
        <w:rPr>
          <w:rFonts w:ascii="Times New Roman" w:hAnsi="Times New Roman" w:eastAsia="Times New Roman" w:cs="Times New Roman"/>
          <w:color w:val="000000"/>
          <w:sz w:val="24"/>
        </w:rPr>
        <w:t xml:space="preserve"> (fetal heart rate absent/abnormal — extremely alarming)</w:t>
      </w:r>
      <w:r/>
    </w:p>
    <w:p w14:paraId="57C340D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ala = 20.0</w:t>
      </w:r>
      <w:r>
        <w:rPr>
          <w:rFonts w:ascii="Times New Roman" w:hAnsi="Times New Roman" w:eastAsia="Times New Roman" w:cs="Times New Roman"/>
          <w:color w:val="000000"/>
          <w:sz w:val="24"/>
        </w:rPr>
        <w:t xml:space="preserve"> (elevated amniotic fluid)</w:t>
      </w:r>
      <w:r/>
    </w:p>
    <w:p w14:paraId="3B1D11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only slight push toward "no referral" (blue) is minor. Together these factors produce a model output of </w:t>
      </w:r>
      <w:r>
        <w:rPr>
          <w:rFonts w:ascii="Times New Roman" w:hAnsi="Times New Roman" w:eastAsia="Times New Roman" w:cs="Times New Roman"/>
          <w:b/>
          <w:color w:val="000000"/>
          <w:sz w:val="24"/>
        </w:rPr>
        <w:t xml:space="preserve">f(x) = 2.31</w:t>
      </w:r>
      <w:r>
        <w:rPr>
          <w:rFonts w:ascii="Times New Roman" w:hAnsi="Times New Roman" w:eastAsia="Times New Roman" w:cs="Times New Roman"/>
          <w:color w:val="000000"/>
          <w:sz w:val="24"/>
        </w:rPr>
        <w:t xml:space="preserve">, well above the decision threshold.</w:t>
      </w:r>
      <w:r/>
    </w:p>
    <w:p w14:paraId="07843F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We can Say -</w:t>
      </w:r>
      <w:r/>
      <w:r>
        <w:rPr>
          <w:rFonts w:ascii="Times New Roman" w:hAnsi="Times New Roman" w:eastAsia="Times New Roman" w:cs="Times New Roman"/>
          <w:b/>
          <w:color w:val="000000"/>
          <w:sz w:val="24"/>
        </w:rPr>
        <w:t xml:space="preserve"> </w:t>
      </w:r>
      <w:r>
        <w:rPr>
          <w:rFonts w:ascii="Times New Roman" w:hAnsi="Times New Roman" w:eastAsia="Times New Roman" w:cs="Times New Roman"/>
          <w:i/>
          <w:color w:val="000000"/>
          <w:sz w:val="24"/>
        </w:rPr>
        <w:t xml:space="preserve">"For this high-risk case, the model identified breech presentation, absent fetal heart sounds, anemia, and abnormal biometrics simultaneously — a clinically textbook referral case. The model is not operating as a black box; it's reasoning the way a trained</w:t>
      </w:r>
      <w:r>
        <w:rPr>
          <w:rFonts w:ascii="Times New Roman" w:hAnsi="Times New Roman" w:eastAsia="Times New Roman" w:cs="Times New Roman"/>
          <w:i/>
          <w:color w:val="000000"/>
          <w:sz w:val="24"/>
        </w:rPr>
        <w:t xml:space="preserve"> clinician would."</w:t>
      </w:r>
      <w:r/>
    </w:p>
    <w:p w14:paraId="75464B9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SHAP Force Plot — LOW RISK Case (Prob = 0.088)</w:t>
      </w:r>
      <w:r/>
    </w:p>
    <w:p w14:paraId="5B0AE1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patient has only an 8.8% referral probability — the model is confident they're low risk.</w:t>
      </w:r>
      <w:r/>
    </w:p>
    <w:p w14:paraId="64DF0A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Almost all features push to the left (blue = toward no referral):</w:t>
      </w:r>
      <w:r/>
    </w:p>
    <w:p w14:paraId="20E98B3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hc = 15.0, hb = 15.0, fl = 16.0, age = 16.0, ac = 16.0</w:t>
      </w:r>
      <w:r>
        <w:rPr>
          <w:rFonts w:ascii="Times New Roman" w:hAnsi="Times New Roman" w:eastAsia="Times New Roman" w:cs="Times New Roman"/>
          <w:color w:val="000000"/>
          <w:sz w:val="24"/>
        </w:rPr>
        <w:t xml:space="preserve"> — normal/expected measurements</w:t>
      </w:r>
      <w:r/>
    </w:p>
    <w:p w14:paraId="663B1B9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map = 93.3</w:t>
      </w:r>
      <w:r>
        <w:rPr>
          <w:rFonts w:ascii="Times New Roman" w:hAnsi="Times New Roman" w:eastAsia="Times New Roman" w:cs="Times New Roman"/>
          <w:color w:val="000000"/>
          <w:sz w:val="24"/>
        </w:rPr>
        <w:t xml:space="preserve"> — acceptable mean arterial pressure</w:t>
      </w:r>
      <w:r/>
    </w:p>
    <w:p w14:paraId="1CEB1EE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glucose_prediabetic = 1.0</w:t>
      </w:r>
      <w:r>
        <w:rPr>
          <w:rFonts w:ascii="Times New Roman" w:hAnsi="Times New Roman" w:eastAsia="Times New Roman" w:cs="Times New Roman"/>
          <w:color w:val="000000"/>
          <w:sz w:val="24"/>
        </w:rPr>
        <w:t xml:space="preserve"> — slight concern, but not enough</w:t>
      </w:r>
      <w:r/>
    </w:p>
    <w:p w14:paraId="2DEF60A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dbp = 80.0, trdt = 0</w:t>
      </w:r>
      <w:r>
        <w:rPr>
          <w:rFonts w:ascii="Times New Roman" w:hAnsi="Times New Roman" w:eastAsia="Times New Roman" w:cs="Times New Roman"/>
          <w:color w:val="000000"/>
          <w:sz w:val="24"/>
        </w:rPr>
        <w:t xml:space="preserve"> — normal readings</w:t>
      </w:r>
      <w:r/>
    </w:p>
    <w:p w14:paraId="26F12C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only slight push toward referral is </w:t>
      </w:r>
      <w:r>
        <w:rPr>
          <w:rFonts w:ascii="Times New Roman" w:hAnsi="Times New Roman" w:eastAsia="Times New Roman" w:cs="Times New Roman"/>
          <w:b/>
          <w:color w:val="000000"/>
          <w:sz w:val="24"/>
        </w:rPr>
        <w:t xml:space="preserve">fp = transverse</w:t>
      </w:r>
      <w:r>
        <w:rPr>
          <w:rFonts w:ascii="Times New Roman" w:hAnsi="Times New Roman" w:eastAsia="Times New Roman" w:cs="Times New Roman"/>
          <w:color w:val="000000"/>
          <w:sz w:val="24"/>
        </w:rPr>
        <w:t xml:space="preserve">, but it's heavily outweighed.</w:t>
      </w:r>
      <w:r/>
    </w:p>
    <w:p w14:paraId="03EEBF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We can Say -</w:t>
      </w:r>
      <w: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"Even when a mild risk factor like transverse presentation exists, the model correctly weighs the overwhelmingly normal biometrics and deprioritizes referral. This demonstrates calibrated, nuanced decision-making rather than single-feature triggering."</w:t>
      </w:r>
      <w:r/>
    </w:p>
    <w:p w14:paraId="4145C6C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UMAP Density Heatmap</w:t>
      </w:r>
      <w:r/>
    </w:p>
    <w:p w14:paraId="42CB76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shows the </w:t>
      </w:r>
      <w:r>
        <w:rPr>
          <w:rFonts w:ascii="Times New Roman" w:hAnsi="Times New Roman" w:eastAsia="Times New Roman" w:cs="Times New Roman"/>
          <w:b/>
          <w:color w:val="000000"/>
          <w:sz w:val="24"/>
        </w:rPr>
        <w:t xml:space="preserve">distributional geography of high-risk (referral) cases</w:t>
      </w:r>
      <w:r>
        <w:rPr>
          <w:rFonts w:ascii="Times New Roman" w:hAnsi="Times New Roman" w:eastAsia="Times New Roman" w:cs="Times New Roman"/>
          <w:color w:val="000000"/>
          <w:sz w:val="24"/>
        </w:rPr>
        <w:t xml:space="preserve"> in the learned feature space.</w:t>
      </w:r>
      <w:r/>
    </w:p>
    <w:p w14:paraId="6D6BB1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are clearly </w:t>
      </w:r>
      <w:r>
        <w:rPr>
          <w:rFonts w:ascii="Times New Roman" w:hAnsi="Times New Roman" w:eastAsia="Times New Roman" w:cs="Times New Roman"/>
          <w:b/>
          <w:color w:val="000000"/>
          <w:sz w:val="24"/>
        </w:rPr>
        <w:t xml:space="preserve">two or three distinct high-density clusters</w:t>
      </w:r>
      <w:r>
        <w:rPr>
          <w:rFonts w:ascii="Times New Roman" w:hAnsi="Times New Roman" w:eastAsia="Times New Roman" w:cs="Times New Roman"/>
          <w:color w:val="000000"/>
          <w:sz w:val="24"/>
        </w:rPr>
        <w:t xml:space="preserve"> of referral cases — visible as the dark red hotspots. This tells you that referral-worthy patients don't form a single homogeneous group; there are </w:t>
      </w:r>
      <w:r>
        <w:rPr>
          <w:rFonts w:ascii="Times New Roman" w:hAnsi="Times New Roman" w:eastAsia="Times New Roman" w:cs="Times New Roman"/>
          <w:b/>
          <w:color w:val="000000"/>
          <w:sz w:val="24"/>
        </w:rPr>
        <w:t xml:space="preserve">distinct clinical subtypes</w:t>
      </w:r>
      <w:r>
        <w:rPr>
          <w:rFonts w:ascii="Times New Roman" w:hAnsi="Times New Roman" w:eastAsia="Times New Roman" w:cs="Times New Roman"/>
          <w:color w:val="000000"/>
          <w:sz w:val="24"/>
        </w:rPr>
        <w:t xml:space="preserve"> of high-risk pregnancies that the model has implicitly learned to separate.</w:t>
      </w:r>
      <w:r/>
    </w:p>
    <w:p w14:paraId="457B05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small isolated cluster on the right (around UMAP Dim 1 ≈ 10) is particularly interesting — it's spatially separate from the main population, suggesting a rare but distinct high-risk phenotype, possibly a specific combination of features not commonly se</w:t>
      </w:r>
      <w:r>
        <w:rPr>
          <w:rFonts w:ascii="Times New Roman" w:hAnsi="Times New Roman" w:eastAsia="Times New Roman" w:cs="Times New Roman"/>
          <w:color w:val="000000"/>
          <w:sz w:val="24"/>
        </w:rPr>
        <w:t xml:space="preserve">en.</w:t>
      </w:r>
      <w:r/>
    </w:p>
    <w:p w14:paraId="476391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We can Say -</w:t>
      </w:r>
      <w: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"The UMAP density map reveals that high-risk cases cluster into distinct subgroups in the learned feature space, suggesting the model has captured multiple clinical pathways to referral rather than a single linear risk profile."</w:t>
      </w:r>
      <w:r/>
    </w:p>
    <w:p w14:paraId="5AEE86B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UMAP Projections — Ground Truth vs Model Predictions</w:t>
      </w:r>
      <w:r/>
    </w:p>
    <w:p w14:paraId="7AF704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your </w:t>
      </w:r>
      <w:r>
        <w:rPr>
          <w:rFonts w:ascii="Times New Roman" w:hAnsi="Times New Roman" w:eastAsia="Times New Roman" w:cs="Times New Roman"/>
          <w:b/>
          <w:color w:val="000000"/>
          <w:sz w:val="24"/>
        </w:rPr>
        <w:t xml:space="preserve">visual model validation</w:t>
      </w:r>
      <w:r>
        <w:rPr>
          <w:rFonts w:ascii="Times New Roman" w:hAnsi="Times New Roman" w:eastAsia="Times New Roman" w:cs="Times New Roman"/>
          <w:color w:val="000000"/>
          <w:sz w:val="24"/>
        </w:rPr>
        <w:t xml:space="preserve">. Comparing left (ground truth) and right (predictions):</w:t>
      </w:r>
      <w:r/>
    </w:p>
    <w:p w14:paraId="1CAEE7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spatial structure is nearly identical — red (referral) cases in the predictions appear in roughly the same regions as in ground truth. The model has learned the correct topology of the risk space. You can see:</w:t>
      </w:r>
      <w:r/>
    </w:p>
    <w:p w14:paraId="7230CB2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main left cluster</w:t>
      </w:r>
      <w:r>
        <w:rPr>
          <w:rFonts w:ascii="Times New Roman" w:hAnsi="Times New Roman" w:eastAsia="Times New Roman" w:cs="Times New Roman"/>
          <w:color w:val="000000"/>
          <w:sz w:val="24"/>
        </w:rPr>
        <w:t xml:space="preserve"> is predominantly blue (no referral) in both panels ✓</w:t>
      </w:r>
      <w:r/>
    </w:p>
    <w:p w14:paraId="2B764F0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High-density referral zones</w:t>
      </w:r>
      <w:r>
        <w:rPr>
          <w:rFonts w:ascii="Times New Roman" w:hAnsi="Times New Roman" w:eastAsia="Times New Roman" w:cs="Times New Roman"/>
          <w:color w:val="000000"/>
          <w:sz w:val="24"/>
        </w:rPr>
        <w:t xml:space="preserve"> (upper-left region, right sub-cluster) appear red in both panels ✓</w:t>
      </w:r>
      <w:r/>
    </w:p>
    <w:p w14:paraId="6B69B03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isolated right cluster</w:t>
      </w:r>
      <w:r>
        <w:rPr>
          <w:rFonts w:ascii="Times New Roman" w:hAnsi="Times New Roman" w:eastAsia="Times New Roman" w:cs="Times New Roman"/>
          <w:color w:val="000000"/>
          <w:sz w:val="24"/>
        </w:rPr>
        <w:t xml:space="preserve"> remains blue in both, confirming the model correctly identifies those as non-referral despite being spatially outlying ✓</w:t>
      </w:r>
      <w:r/>
    </w:p>
    <w:p w14:paraId="71617F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There's some expected noise — a few blue points in red zones and vice versa — which reflects the model's imperfect but strong discrimination.</w:t>
      </w:r>
      <w:r/>
    </w:p>
    <w:p w14:paraId="57B5B5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We can Say -</w:t>
      </w:r>
      <w: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"The near-identical topology between ground truth and predictions in UMAP space confirms the model has genuinely learned the underlying data manifold rather than memorizing training examples. This is particularly compelling as validation evidence."</w:t>
      </w:r>
      <w:r/>
    </w:p>
    <w:p w14:paraId="2029590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The Big Picture Narrative</w:t>
      </w:r>
      <w:r/>
    </w:p>
    <w:p w14:paraId="6CE997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Tie it all together like this: </w:t>
      </w:r>
      <w:r>
        <w:rPr>
          <w:rFonts w:ascii="Times New Roman" w:hAnsi="Times New Roman" w:eastAsia="Times New Roman" w:cs="Times New Roman"/>
          <w:i/>
          <w:color w:val="000000"/>
          <w:sz w:val="24"/>
        </w:rPr>
        <w:t xml:space="preserve">"Our CatBoost model identifies fetal biometrics and presentation as the dominant clinical signals for referral decisions. SHAP analysis confirms the model reasons in a clinically interpretable and directionally correct manner. Individual force plots show i</w:t>
      </w:r>
      <w:r>
        <w:rPr>
          <w:rFonts w:ascii="Times New Roman" w:hAnsi="Times New Roman" w:eastAsia="Times New Roman" w:cs="Times New Roman"/>
          <w:i/>
          <w:color w:val="000000"/>
          <w:sz w:val="24"/>
        </w:rPr>
        <w:t xml:space="preserve">t handles both high and low-risk cases with nuance. UMAP projections confirm the model has learned a structured, generalizable representation of pregnancy risk — including distinct high-risk subtypes — rather than overfitting to noise.”</w:t>
      </w:r>
      <w:r/>
      <w:r/>
      <w:r>
        <w:rPr>
          <w:rFonts w:ascii="Times New Roman" w:hAnsi="Times New Roman" w:eastAsia="Times New Roman" w:cs="Times New Roman"/>
          <w:sz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1232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E1534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EF4AC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2026-02-23T05:28:49Z</dcterms:modified>
</cp:coreProperties>
</file>