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67986" w14:textId="269E50AE" w:rsidR="00E80C8A" w:rsidRPr="00E80C8A" w:rsidRDefault="00E80C8A" w:rsidP="000A5584">
      <w:r w:rsidRPr="00E80C8A">
        <w:t>La piattaforma, al fine di rispondere in modo esaustivo alle esigenze di tutti gli attori coinvolti, contempla sei casi d’uso principali</w:t>
      </w:r>
      <w:r>
        <w:t>:</w:t>
      </w:r>
    </w:p>
    <w:p w14:paraId="5DD992BE" w14:textId="77777777" w:rsidR="004A3A63" w:rsidRPr="004A3A63" w:rsidRDefault="004A3A63" w:rsidP="004A3A63">
      <w:pPr>
        <w:rPr>
          <w:b/>
          <w:bCs/>
        </w:rPr>
      </w:pPr>
      <w:r w:rsidRPr="004A3A63">
        <w:rPr>
          <w:b/>
          <w:bCs/>
        </w:rPr>
        <w:t xml:space="preserve">Intermediario: </w:t>
      </w:r>
      <w:r w:rsidRPr="004A3A63">
        <w:t>l’intermediario svolge un ruolo chiave all’interno della piattaforma come amministratore e gestore; egli si occupa principalmente della governance dell’infrastruttura, in particolare di inserire transazioni sulla blockchain permissioned per registrare l’ID univoco, i passaggi di proprietà e le manutenzioni degli orologi, archiviando contestualmente i dati tecnici e le immagini ad alta risoluzione in un database off-chain da cui il modello di intelligenza artificiale può estrarre le "impronte digitali" necessarie all’addestramento per il riconoscimento di anomalie e contraffazioni.</w:t>
      </w:r>
    </w:p>
    <w:p w14:paraId="1AE5C95C" w14:textId="77777777" w:rsidR="006D72E3" w:rsidRDefault="006D72E3" w:rsidP="000A5584"/>
    <w:p w14:paraId="1EDAB126" w14:textId="691A384D" w:rsidR="006D72E3" w:rsidRDefault="00996D25" w:rsidP="000A5584">
      <w:r>
        <w:rPr>
          <w:b/>
          <w:bCs/>
        </w:rPr>
        <w:t>Casa produttrice</w:t>
      </w:r>
      <w:r w:rsidR="006D72E3" w:rsidRPr="006D72E3">
        <w:rPr>
          <w:b/>
          <w:bCs/>
        </w:rPr>
        <w:t>:</w:t>
      </w:r>
      <w:r w:rsidR="006D72E3" w:rsidRPr="006D72E3">
        <w:t xml:space="preserve"> </w:t>
      </w:r>
      <w:r w:rsidR="00483CA7" w:rsidRPr="00483CA7">
        <w:t>la casa produttrice ha la responsabilità di assemblare l’orologio e di integrare al suo interno il tag ID univoco, creando così il legame fisico-digitale necessario alla tracciabilità; essa si occupa della registrazione dei dati tecnici sulla piattaforma, operazione che abilita simultaneamente l’archiviazione nel database off-chain per l’addestramento dell’intelligenza artificiale e la generazione del primo blocco informativo sulla blockchain, dove l’intervento dell’intermediario garantisce l’immutabilità dei dati a certificazione dell’autenticità del bene per tutto il suo ciclo di vita.</w:t>
      </w:r>
    </w:p>
    <w:p w14:paraId="0501FDEF" w14:textId="77777777" w:rsidR="0003022D" w:rsidRDefault="0003022D" w:rsidP="000A5584"/>
    <w:p w14:paraId="5AB6FCFA" w14:textId="77FAD491" w:rsidR="0003022D" w:rsidRDefault="00834C32" w:rsidP="000A5584">
      <w:r>
        <w:rPr>
          <w:b/>
          <w:bCs/>
        </w:rPr>
        <w:t>Centro di riparazione certificato</w:t>
      </w:r>
      <w:r w:rsidR="0003022D" w:rsidRPr="0003022D">
        <w:rPr>
          <w:b/>
          <w:bCs/>
        </w:rPr>
        <w:t>:</w:t>
      </w:r>
      <w:r w:rsidR="0003022D" w:rsidRPr="0003022D">
        <w:t xml:space="preserve"> </w:t>
      </w:r>
      <w:r w:rsidR="00805294" w:rsidRPr="00805294">
        <w:t>questo stakeholder è responsabile dell’esecuzione di interventi tecnici che valorizzano l’orologio nel tempo; la sua attività inizia con la verifica dell’autenticità tramite Tag ID per richiamare il gemello digitale dal sistema e prosegue con la riparazione o revisione meccanica, al termine della quale il manutentore provvede alla formalizzazione dell’intervento sulla piattaforma inserendo i dettagli tecnici delle operazioni svolte, aggiornando così il passaporto digitale sulla blockchain affinché, grazie al supporto dell’intermediario, ogni manutenzione diventi parte integrante della storia immutabile e certificata del bene</w:t>
      </w:r>
      <w:r w:rsidR="00D06603" w:rsidRPr="00D06603">
        <w:t>.</w:t>
      </w:r>
    </w:p>
    <w:p w14:paraId="276EDA08" w14:textId="77777777" w:rsidR="00835149" w:rsidRDefault="00835149" w:rsidP="000A5584"/>
    <w:p w14:paraId="124AAD3C" w14:textId="30D9DA45" w:rsidR="00EA7F45" w:rsidRDefault="00835149" w:rsidP="002A6F66">
      <w:r>
        <w:rPr>
          <w:b/>
          <w:bCs/>
        </w:rPr>
        <w:t>Esperto di orologi</w:t>
      </w:r>
      <w:r w:rsidRPr="00835149">
        <w:rPr>
          <w:b/>
          <w:bCs/>
        </w:rPr>
        <w:t>:</w:t>
      </w:r>
      <w:r w:rsidRPr="00835149">
        <w:t xml:space="preserve"> </w:t>
      </w:r>
      <w:r w:rsidR="00CF7193" w:rsidRPr="00CF7193">
        <w:t xml:space="preserve">il certificatore utilizza la piattaforma per formalizzare perizie tecniche </w:t>
      </w:r>
      <w:r w:rsidR="00996374" w:rsidRPr="00996374">
        <w:t>di elevato standard qualitativo</w:t>
      </w:r>
      <w:r w:rsidR="00996374">
        <w:t xml:space="preserve">, </w:t>
      </w:r>
      <w:r w:rsidR="00CF7193" w:rsidRPr="00CF7193">
        <w:t>iniziando il processo con l’identificazione del pezzo tramite Tag ID e proseguendo con l’esame dello stato di conservazione, supportato da algoritmi di computer vision per identificare le impronte digitali univoche del bene; la valutazione finale viene emessa come un sigillo di garanzia digitale che, grazie all’intervento dell’intermediario, viene registrata sulla blockchain per elevare lo standard di affidabilità del mercato e supportare le transazioni tra privati o rivenditori.</w:t>
      </w:r>
    </w:p>
    <w:p w14:paraId="38250DB3" w14:textId="77777777" w:rsidR="00BF2991" w:rsidRDefault="00BF2991" w:rsidP="002A6F66"/>
    <w:p w14:paraId="7D0F5B7E" w14:textId="56B446E1" w:rsidR="00BF2991" w:rsidRDefault="00BF2991" w:rsidP="002A6F66">
      <w:r w:rsidRPr="00BF2991">
        <w:rPr>
          <w:b/>
          <w:bCs/>
        </w:rPr>
        <w:t>Cliente finale:</w:t>
      </w:r>
      <w:r w:rsidRPr="00BF2991">
        <w:t xml:space="preserve"> il cliente finale può agire sia come acquirente sia come rivenditore di orologi usati; nel caso di acquirente, si occupa di verificare l’autenticità dell’orologio e di consultarne </w:t>
      </w:r>
      <w:r w:rsidRPr="00BF2991">
        <w:lastRenderedPageBreak/>
        <w:t>il passaporto digitale attraverso la piattaforma per procedere all’acquisto tutelato, mentre nel caso di rivenditore di usato permette all’acquirente di verificare la storia tecnica e la provenienza del bene</w:t>
      </w:r>
      <w:r w:rsidR="00133747">
        <w:t>,</w:t>
      </w:r>
      <w:r w:rsidRPr="00BF2991">
        <w:t xml:space="preserve"> per poi finalizzare il passaggio di proprietà tramite la validazione e </w:t>
      </w:r>
      <w:proofErr w:type="spellStart"/>
      <w:r w:rsidRPr="00BF2991">
        <w:t>notarizzazione</w:t>
      </w:r>
      <w:proofErr w:type="spellEnd"/>
      <w:r w:rsidRPr="00BF2991">
        <w:t xml:space="preserve"> dell’operazione, fase in cui il venditore conferma l’avvenuta transazione commerciale e l’intermediario provvede alla registrazione del nuovo stato sulla blockchain</w:t>
      </w:r>
      <w:r w:rsidR="00133747">
        <w:t>.</w:t>
      </w:r>
    </w:p>
    <w:p w14:paraId="49458884" w14:textId="77777777" w:rsidR="00133747" w:rsidRDefault="00133747" w:rsidP="002A6F66"/>
    <w:p w14:paraId="3F4B268E" w14:textId="0371FD70" w:rsidR="00EA7F45" w:rsidRDefault="00C948D5" w:rsidP="002A6F66">
      <w:r w:rsidRPr="00C948D5">
        <w:rPr>
          <w:b/>
          <w:bCs/>
        </w:rPr>
        <w:t>Venditore:</w:t>
      </w:r>
      <w:r w:rsidRPr="00C948D5">
        <w:t xml:space="preserve"> lo stakeholder rappresenta il fulcro operativo della piattaforma, agendo come garante dell’integrità del bene attraverso una struttura multi-ruolo che coordina il passaggio dell’orologio dalla ricezione alla vendita certificata; il processo ha inizio con l’ingresso e la validazione digitale dei prodotti, nuovi o usati, gestita dai responsabili dello stoccaggio per assicurare la coerenza tra magazzino fisico e digitale, e prosegue con la valorizzazione commerciale in cui il rivenditore attiva la proposta di vendita invocando la richiesta di certificazione all’esperto di orologi per attestarne ufficialmente la qualità. Il flusso culmina infine nella finalizzazione della vendita con il cliente finale, atto che include obbligatoriamente il consolidamento della transazione su blockchain dove, grazie all'intervento dell'intermediario, il passaggio di proprietà viene </w:t>
      </w:r>
      <w:proofErr w:type="spellStart"/>
      <w:r w:rsidRPr="00C948D5">
        <w:t>notarizzato</w:t>
      </w:r>
      <w:proofErr w:type="spellEnd"/>
      <w:r w:rsidRPr="00C948D5">
        <w:t xml:space="preserve"> in modo immutabile rendendo il nuovo proprietario l’unico titolare certificato del gemello digitale.</w:t>
      </w:r>
    </w:p>
    <w:p w14:paraId="2048909E" w14:textId="77777777" w:rsidR="00257C0B" w:rsidRDefault="00257C0B" w:rsidP="002A6F66"/>
    <w:p w14:paraId="3D637FB4" w14:textId="77777777" w:rsidR="00257C0B" w:rsidRDefault="00257C0B" w:rsidP="002A6F66"/>
    <w:p w14:paraId="4CB81079" w14:textId="77777777" w:rsidR="00257C0B" w:rsidRDefault="00257C0B" w:rsidP="002A6F66"/>
    <w:p w14:paraId="2019F63D" w14:textId="77777777" w:rsidR="00257C0B" w:rsidRDefault="00257C0B" w:rsidP="002A6F66"/>
    <w:p w14:paraId="22398D11" w14:textId="01F4DB35" w:rsidR="00CB425D" w:rsidRPr="00CB425D" w:rsidRDefault="00CB425D" w:rsidP="002A6F66">
      <w:pPr>
        <w:rPr>
          <w:b/>
          <w:bCs/>
        </w:rPr>
      </w:pPr>
    </w:p>
    <w:sectPr w:rsidR="00CB425D" w:rsidRPr="00CB425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75B20"/>
    <w:multiLevelType w:val="hybridMultilevel"/>
    <w:tmpl w:val="4F1C62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64CA5AAA"/>
    <w:multiLevelType w:val="multilevel"/>
    <w:tmpl w:val="F5A6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5369520">
    <w:abstractNumId w:val="1"/>
  </w:num>
  <w:num w:numId="2" w16cid:durableId="749618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80A"/>
    <w:rsid w:val="0003022D"/>
    <w:rsid w:val="000A5584"/>
    <w:rsid w:val="000C6EF8"/>
    <w:rsid w:val="00133747"/>
    <w:rsid w:val="001C0807"/>
    <w:rsid w:val="001D0F28"/>
    <w:rsid w:val="00213A29"/>
    <w:rsid w:val="00257C0B"/>
    <w:rsid w:val="00291B27"/>
    <w:rsid w:val="002A6F66"/>
    <w:rsid w:val="004556AF"/>
    <w:rsid w:val="00483CA7"/>
    <w:rsid w:val="004A3A63"/>
    <w:rsid w:val="004B6C4F"/>
    <w:rsid w:val="005D565A"/>
    <w:rsid w:val="0060324A"/>
    <w:rsid w:val="00645517"/>
    <w:rsid w:val="006521D5"/>
    <w:rsid w:val="006C707B"/>
    <w:rsid w:val="006D72E3"/>
    <w:rsid w:val="006D7FD5"/>
    <w:rsid w:val="006E280A"/>
    <w:rsid w:val="006E76AC"/>
    <w:rsid w:val="0072618F"/>
    <w:rsid w:val="00770A34"/>
    <w:rsid w:val="007E61E6"/>
    <w:rsid w:val="00805294"/>
    <w:rsid w:val="00834C32"/>
    <w:rsid w:val="00835149"/>
    <w:rsid w:val="0098232D"/>
    <w:rsid w:val="0098631E"/>
    <w:rsid w:val="00996374"/>
    <w:rsid w:val="00996D25"/>
    <w:rsid w:val="009C42DE"/>
    <w:rsid w:val="00A2401D"/>
    <w:rsid w:val="00A33F26"/>
    <w:rsid w:val="00A3444A"/>
    <w:rsid w:val="00B37167"/>
    <w:rsid w:val="00BF2991"/>
    <w:rsid w:val="00C948D5"/>
    <w:rsid w:val="00CA098D"/>
    <w:rsid w:val="00CA0B2D"/>
    <w:rsid w:val="00CB425D"/>
    <w:rsid w:val="00CC143B"/>
    <w:rsid w:val="00CF7193"/>
    <w:rsid w:val="00D06603"/>
    <w:rsid w:val="00D2224E"/>
    <w:rsid w:val="00DF0B69"/>
    <w:rsid w:val="00E80C8A"/>
    <w:rsid w:val="00EA7F45"/>
    <w:rsid w:val="00EB39F8"/>
    <w:rsid w:val="00EF7C60"/>
    <w:rsid w:val="00F900D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F0C97"/>
  <w15:chartTrackingRefBased/>
  <w15:docId w15:val="{9738BBFB-6207-4BD9-ABF6-9A5A7E97C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A098D"/>
  </w:style>
  <w:style w:type="paragraph" w:styleId="Titolo1">
    <w:name w:val="heading 1"/>
    <w:basedOn w:val="Normale"/>
    <w:next w:val="Normale"/>
    <w:link w:val="Titolo1Carattere"/>
    <w:uiPriority w:val="9"/>
    <w:qFormat/>
    <w:rsid w:val="006E28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E28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E280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E280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E280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E280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E280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E280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E280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E280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E280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E280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E280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E280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E280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E280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E280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E280A"/>
    <w:rPr>
      <w:rFonts w:eastAsiaTheme="majorEastAsia" w:cstheme="majorBidi"/>
      <w:color w:val="272727" w:themeColor="text1" w:themeTint="D8"/>
    </w:rPr>
  </w:style>
  <w:style w:type="paragraph" w:styleId="Titolo">
    <w:name w:val="Title"/>
    <w:basedOn w:val="Normale"/>
    <w:next w:val="Normale"/>
    <w:link w:val="TitoloCarattere"/>
    <w:uiPriority w:val="10"/>
    <w:qFormat/>
    <w:rsid w:val="006E2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E280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E280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E280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E280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E280A"/>
    <w:rPr>
      <w:i/>
      <w:iCs/>
      <w:color w:val="404040" w:themeColor="text1" w:themeTint="BF"/>
    </w:rPr>
  </w:style>
  <w:style w:type="paragraph" w:styleId="Paragrafoelenco">
    <w:name w:val="List Paragraph"/>
    <w:basedOn w:val="Normale"/>
    <w:uiPriority w:val="34"/>
    <w:qFormat/>
    <w:rsid w:val="006E280A"/>
    <w:pPr>
      <w:ind w:left="720"/>
      <w:contextualSpacing/>
    </w:pPr>
  </w:style>
  <w:style w:type="character" w:styleId="Enfasiintensa">
    <w:name w:val="Intense Emphasis"/>
    <w:basedOn w:val="Carpredefinitoparagrafo"/>
    <w:uiPriority w:val="21"/>
    <w:qFormat/>
    <w:rsid w:val="006E280A"/>
    <w:rPr>
      <w:i/>
      <w:iCs/>
      <w:color w:val="0F4761" w:themeColor="accent1" w:themeShade="BF"/>
    </w:rPr>
  </w:style>
  <w:style w:type="paragraph" w:styleId="Citazioneintensa">
    <w:name w:val="Intense Quote"/>
    <w:basedOn w:val="Normale"/>
    <w:next w:val="Normale"/>
    <w:link w:val="CitazioneintensaCarattere"/>
    <w:uiPriority w:val="30"/>
    <w:qFormat/>
    <w:rsid w:val="006E2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E280A"/>
    <w:rPr>
      <w:i/>
      <w:iCs/>
      <w:color w:val="0F4761" w:themeColor="accent1" w:themeShade="BF"/>
    </w:rPr>
  </w:style>
  <w:style w:type="character" w:styleId="Riferimentointenso">
    <w:name w:val="Intense Reference"/>
    <w:basedOn w:val="Carpredefinitoparagrafo"/>
    <w:uiPriority w:val="32"/>
    <w:qFormat/>
    <w:rsid w:val="006E28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261</TotalTime>
  <Pages>2</Pages>
  <Words>641</Words>
  <Characters>3659</Characters>
  <Application>Microsoft Office Word</Application>
  <DocSecurity>0</DocSecurity>
  <Lines>30</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Dario Dolcetti</dc:creator>
  <cp:keywords/>
  <dc:description/>
  <cp:lastModifiedBy>VITTORIO GALLICCHIO</cp:lastModifiedBy>
  <cp:revision>45</cp:revision>
  <dcterms:created xsi:type="dcterms:W3CDTF">2026-02-07T15:21:00Z</dcterms:created>
  <dcterms:modified xsi:type="dcterms:W3CDTF">2026-02-16T14:16:00Z</dcterms:modified>
</cp:coreProperties>
</file>