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Концептуальная модель "Майнинг Умом / Банк Мысли"</w:t>
      </w:r>
    </w:p>
    <w:p/>
    <w:p>
      <w:r>
        <w:t>1. Научная новизна модели</w:t>
      </w:r>
    </w:p>
    <w:p/>
    <w:p>
      <w:r>
        <w:t>Предлагаемая модель основана на принципе распределённой ответственности за смысловую память — в отличие от существующих цифровых систем, ориентированных преимущественно на централизованное накопление данных.</w:t>
      </w:r>
    </w:p>
    <w:p/>
    <w:p>
      <w:r>
        <w:t>1. Смысл вместо данных</w:t>
      </w:r>
    </w:p>
    <w:p>
      <w:r>
        <w:t>Модель ориентирована не на накопление массивов информации, а на фиксацию и структурирование смысловых ядер и их происхождения.</w:t>
      </w:r>
    </w:p>
    <w:p/>
    <w:p>
      <w:r>
        <w:t>2. Распределённая память</w:t>
      </w:r>
    </w:p>
    <w:p>
      <w:r>
        <w:t>Полный след взаимодействия остаётся в зоне контроля пользователя, в то время как центральный контур фиксирует лишь структурированный смысловой отпечаток.</w:t>
      </w:r>
    </w:p>
    <w:p/>
    <w:p>
      <w:r>
        <w:t>3. Архитектурная устойчивость</w:t>
      </w:r>
    </w:p>
    <w:p>
      <w:r>
        <w:t>Развитие системы происходит через накопление и структурирование связей между смысловыми ядрами без изменения базового ядра архитектуры.</w:t>
      </w:r>
    </w:p>
    <w:p/>
    <w:p>
      <w:r>
        <w:t>4. Контролируемая эволюция</w:t>
      </w:r>
    </w:p>
    <w:p>
      <w:r>
        <w:t>Модель допускает поступательное усложнение смысловой структуры через фильтрацию значимого и формирование устойчивых паттернов.</w:t>
      </w:r>
    </w:p>
    <w:p/>
    <w:p>
      <w:r>
        <w:t>5. Экологическая оптимизация</w:t>
      </w:r>
    </w:p>
    <w:p>
      <w:r>
        <w:t>Снижение объёмов централизованного хранения уменьшает энергозатраты и нагрузку на инфраструктуру.</w:t>
      </w:r>
    </w:p>
    <w:p/>
    <w:p>
      <w:r>
        <w:t>6. Концепция Банка Мысли</w:t>
      </w:r>
    </w:p>
    <w:p>
      <w:r>
        <w:t>Вводится модель надсистемной смысловой индексации интеллектуального наследия.</w:t>
      </w:r>
    </w:p>
    <w:p/>
    <w:p>
      <w:r>
        <w:t>2. Практическая значимость и области применения</w:t>
      </w:r>
    </w:p>
    <w:p/>
    <w:p>
      <w:r>
        <w:t>Модель применима в научной, инновационной, образовательной и творческой среде, обеспечивая структурирование идей, их развитие и возможную реализацию.</w:t>
      </w:r>
    </w:p>
    <w:p/>
    <w:p>
      <w:r>
        <w:t>3. Архитектура Банка Мысли</w:t>
      </w:r>
    </w:p>
    <w:p/>
    <w:p>
      <w:r>
        <w:t>Система обеспечивает:</w:t>
      </w:r>
    </w:p>
    <w:p>
      <w:r>
        <w:t>— индексацию происхождения идеи;</w:t>
      </w:r>
    </w:p>
    <w:p>
      <w:r>
        <w:t>— структурированное хранение;</w:t>
      </w:r>
    </w:p>
    <w:p>
      <w:r>
        <w:t>— возможность дальнейшей реализации.</w:t>
      </w:r>
    </w:p>
    <w:p/>
    <w:p>
      <w:r>
        <w:t>Механизм поиска включает:</w:t>
      </w:r>
    </w:p>
    <w:p>
      <w:r>
        <w:t>— поиск по смыслу;</w:t>
      </w:r>
    </w:p>
    <w:p>
      <w:r>
        <w:t>— поиск по идеям;</w:t>
      </w:r>
    </w:p>
    <w:p>
      <w:r>
        <w:t>— поиск по авторам.</w:t>
      </w:r>
    </w:p>
    <w:p/>
    <w:p>
      <w:r>
        <w:t>Реализован принцип постепенного раскрытия связей через функцию «Схожие работы».</w:t>
      </w:r>
    </w:p>
    <w:p/>
    <w:p>
      <w:r>
        <w:t>4. Соотношение понятий</w:t>
      </w:r>
    </w:p>
    <w:p/>
    <w:p>
      <w:r>
        <w:t>Мысль — первичный импульс.</w:t>
      </w:r>
    </w:p>
    <w:p>
      <w:r>
        <w:t>Идея — структурированная мысль, пригодная для фиксации и индексации.</w:t>
      </w:r>
    </w:p>
    <w:p/>
    <w:p>
      <w:r>
        <w:t>5. Индексация идей</w:t>
      </w:r>
    </w:p>
    <w:p/>
    <w:p>
      <w:r>
        <w:t>Идеи анализируются по параметрам:</w:t>
      </w:r>
    </w:p>
    <w:p>
      <w:r>
        <w:t>— новизна;</w:t>
      </w:r>
    </w:p>
    <w:p>
      <w:r>
        <w:t>— уникальность;</w:t>
      </w:r>
    </w:p>
    <w:p>
      <w:r>
        <w:t>— реализуемость;</w:t>
      </w:r>
    </w:p>
    <w:p>
      <w:r>
        <w:t>— наличие пересечений.</w:t>
      </w:r>
    </w:p>
    <w:p/>
    <w:p>
      <w:r>
        <w:t>Система не отклоняет идеи, а фиксирует их положение.</w:t>
      </w:r>
    </w:p>
    <w:p/>
    <w:p>
      <w:r>
        <w:t>6. Интегральная характеристика значимости</w:t>
      </w:r>
    </w:p>
    <w:p/>
    <w:p>
      <w:r>
        <w:t>Формируется на основе:</w:t>
      </w:r>
    </w:p>
    <w:p>
      <w:r>
        <w:t>— параметров;</w:t>
      </w:r>
    </w:p>
    <w:p>
      <w:r>
        <w:t>— прогнозов системы;</w:t>
      </w:r>
    </w:p>
    <w:p>
      <w:r>
        <w:t>— мнений арбитров.</w:t>
      </w:r>
    </w:p>
    <w:p/>
    <w:p>
      <w:r>
        <w:t>Арбитраж включает:</w:t>
      </w:r>
    </w:p>
    <w:p>
      <w:r>
        <w:t>— алгоритмический уровень;</w:t>
      </w:r>
    </w:p>
    <w:p>
      <w:r>
        <w:t>— экспертный уровень;</w:t>
      </w:r>
    </w:p>
    <w:p>
      <w:r>
        <w:t>— коллективный уровень.</w:t>
      </w:r>
    </w:p>
    <w:p/>
    <w:p>
      <w:r>
        <w:t>7. Правовые режимы</w:t>
      </w:r>
    </w:p>
    <w:p/>
    <w:p>
      <w:r>
        <w:t>Идеи могут быть:</w:t>
      </w:r>
    </w:p>
    <w:p>
      <w:r>
        <w:t>— закрытыми;</w:t>
      </w:r>
    </w:p>
    <w:p>
      <w:r>
        <w:t>— открытыми;</w:t>
      </w:r>
    </w:p>
    <w:p>
      <w:r>
        <w:t>— смешанными.</w:t>
      </w:r>
    </w:p>
    <w:p/>
    <w:p>
      <w:r>
        <w:t>Учитывается индивидуальное, коллективное и гибридное происхождение.</w:t>
      </w:r>
    </w:p>
    <w:p/>
    <w:p>
      <w:r>
        <w:t>8. Этические границы</w:t>
      </w:r>
    </w:p>
    <w:p/>
    <w:p>
      <w:r>
        <w:t>— неподавление идей;</w:t>
      </w:r>
    </w:p>
    <w:p>
      <w:r>
        <w:t>— ответственность автора;</w:t>
      </w:r>
    </w:p>
    <w:p>
      <w:r>
        <w:t>— добровольность раскрытия;</w:t>
      </w:r>
    </w:p>
    <w:p>
      <w:r>
        <w:t>— интерпретационная свобода;</w:t>
      </w:r>
    </w:p>
    <w:p>
      <w:r>
        <w:t>— ненасильственное развитие;</w:t>
      </w:r>
    </w:p>
    <w:p>
      <w:r>
        <w:t>— архитектурная нейтральность.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