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PES University | CSE | Lab 3 | Dhanush S S | PES1UG24AM082 | Section B</w:t>
      </w:r>
    </w:p>
    <w:p>
      <w:pPr>
        <w:pStyle w:val="Title"/>
      </w:pPr>
      <w:r>
        <w:t>Architecture Selection and Justification</w:t>
      </w:r>
    </w:p>
    <w:p>
      <w:r>
        <w:rPr>
          <w:b/>
        </w:rPr>
        <w:t>Remote Patient Vitals Alert and Monitoring App</w:t>
      </w:r>
    </w:p>
    <w:p>
      <w:r>
        <w:t>I selected Microservices Architecture for secure remote patient monitoring. My requirements cover authenticated telemetry, validation and duplicate prevention, connection loss, critical-alert escalation and an authorized caregiver dashboard. The seven components in the diagram separate these responsibilities while retaining a common patient identity.</w:t>
      </w:r>
    </w:p>
    <w:p>
      <w:pPr>
        <w:pStyle w:val="Heading1"/>
      </w:pPr>
      <w:r>
        <w:t>Architectural style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Style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Assessment for this system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Layered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Simple separation of presentation, domain logic and data access. A conventional single deployment makes telemetry and dashboard releases and scaling interdependent.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Client–Server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Naturally connects remote devices and caregivers to a backend, but alone does not specify how validation, connection monitoring and alert processing are isolated.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Microservices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Allows independent telemetry and alert services with targeted scaling and fault isolation. Requires extra monitoring, network calls and careful state consistency.</w:t>
            </w:r>
          </w:p>
        </w:tc>
      </w:tr>
    </w:tbl>
    <w:p>
      <w:pPr>
        <w:pStyle w:val="Heading1"/>
      </w:pPr>
      <w:r>
        <w:t>Two reasons for this choice</w:t>
      </w:r>
    </w:p>
    <w:p>
      <w:r>
        <w:t>1. Protect the telemetry path. The Ingestion Service validates fields and reading IDs, while the Analysis Service evaluates accepted readings. A correctly formatted critical value is preserved for evaluation. These services can scale separately from dashboard queries as the system approaches 500 simultaneous streams (FR-001, FR-002 and NFR-001).</w:t>
      </w:r>
    </w:p>
    <w:p>
      <w:r>
        <w:t>2. Keep monitoring during delivery failures. Pending alerts are persisted before notification workers attempt delivery. Bounded timeouts and retries isolate a slow provider from ingestion. Ingestion separately records disconnection and recovery, allowing the dashboard to label old readings stale. Escalation stops after acknowledgement (FR-003 to FR-005).</w:t>
      </w:r>
    </w:p>
    <w:p>
      <w:pPr>
        <w:pStyle w:val="Heading1"/>
      </w:pPr>
      <w:r>
        <w:t>Security advantage</w:t>
      </w:r>
    </w:p>
    <w:p>
      <w:r>
        <w:t>Device credentials are checked against patient pairing; caregiver tokens are checked against assigned patients at each data API. TLS 1.2 or later protects transport, and AES-256 protects stored patient data. Restricted service credentials and audit records for access, configuration and acknowledgements support NFR-002. Separate service boundaries limit unnecessary data access.</w:t>
      </w:r>
    </w:p>
    <w:p>
      <w:pPr>
        <w:pStyle w:val="Heading1"/>
      </w:pPr>
      <w:r>
        <w:t>Performance benefit and availability</w:t>
      </w:r>
    </w:p>
    <w:p>
      <w:r>
        <w:t>Replicated analysis workers and versioned threshold caching target detection within 2 seconds of receipt (FR-004). Shared connection state avoids false disconnections when ingestion workers change. Supporting 500 concurrent streams and 99.99% monthly availability requires load tests, redundant instances and monitored failover. The Patient Data Service needs partitioning and replicas to avoid a bottleneck. These are proposed design targets, not benchmark results.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Selection and Justification</dc:title>
  <dc:subject>Lab 3 Remote Patient Vitals Alert and Monitoring App</dc:subject>
  <dc:creator>Dhanush S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