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0"/>
        </w:rPr>
        <w:t>Does Replacing SOFA-1 with SOFA-2 Change Mortality Discrimination and Calibration Across Patient Subgroups? A Paired Analysis in MIMIC-IV</w:t>
      </w:r>
    </w:p>
    <w:p>
      <w:pPr>
        <w:spacing w:after="40"/>
        <w:jc w:val="center"/>
      </w:pPr>
      <w:r>
        <w:rPr>
          <w:i w:val="0"/>
        </w:rPr>
        <w:t>[to be provided by the authors]</w:t>
      </w:r>
    </w:p>
    <w:p>
      <w:pPr>
        <w:spacing w:after="200"/>
        <w:jc w:val="center"/>
      </w:pPr>
      <w:r>
        <w:rPr>
          <w:i/>
          <w:sz w:val="20"/>
        </w:rPr>
        <w:t>[to be provided by the authors]</w:t>
      </w:r>
    </w:p>
    <w:p>
      <w:r>
        <w:rPr>
          <w:b/>
        </w:rPr>
        <w:t xml:space="preserve">Background. </w:t>
      </w:r>
      <w:r>
        <w:rPr>
          <w:i w:val="0"/>
        </w:rPr>
        <w:t>The Sequential Organ Failure Assessment (SOFA) score describes organ dysfunction in intensive care. SOFA-2, published in 2025, updates the 1996 score (SOFA-1). It is unknown whether the update changes mortality discrimination and calibration within patient subgroups.</w:t>
      </w:r>
    </w:p>
    <w:p>
      <w:r>
        <w:rPr>
          <w:b/>
        </w:rPr>
        <w:t xml:space="preserve">Methods. </w:t>
      </w:r>
      <w:r>
        <w:rPr>
          <w:i w:val="0"/>
        </w:rPr>
        <w:t>We analyzed 85,228 first ICU stays per hospitalization (65,354 adults) in MIMIC-IV v3.1, scoring SOFA-1 (two prespecified conventions for intubated patients) and SOFA-2 from the same data over the same first 24 hours. The primary outcome was in-hospital mortality; ICU mortality was secondary. We estimated AUROC overall and by sex, race and insurance, the paired change between scores, subgroup gaps in AUROC and the change in those gaps, and descriptive calibration, using a paired patient-level bootstrap (5,000 replicates). The protocol was committed before any analysis relating scores to mortality.</w:t>
      </w:r>
    </w:p>
    <w:p>
      <w:r>
        <w:rPr>
          <w:b/>
        </w:rPr>
        <w:t xml:space="preserve">Results. </w:t>
      </w:r>
      <w:r>
        <w:rPr>
          <w:i w:val="0"/>
        </w:rPr>
        <w:t>9,468 patients (11.1%) died in hospital. AUROC was 0.762 for SOFA-2, 0.743 for SOFA-1 as charted and 0.735 for SOFA-1 under the community convention; SOFA-2 minus SOFA-1 was +0.019 (+0.016 to +0.023) and +0.027 (+0.023 to +0.031). Swapping single domains showed that the respiratory domain accounted for the whole gain, about 74% of it through the SpO2/FiO2 fallback. Subgroup gaps changed against SOFA-1 as charted (male–female +0.021; White–Black +0.025), driven by the brain-domain rule, but not against the community convention; the White–Black change was not seen in patients under 65, and neither change was consistent across ICU types. Calibration differences between groups were large but changed little between scores (|Δ log O/E| ≤ 0.045); insurance-group differences largely disappeared in patients under 65, whereas race-group differences did not.</w:t>
      </w:r>
    </w:p>
    <w:p>
      <w:r>
        <w:rPr>
          <w:b/>
        </w:rPr>
        <w:t xml:space="preserve">Conclusions. </w:t>
      </w:r>
      <w:r>
        <w:rPr>
          <w:i w:val="0"/>
        </w:rPr>
        <w:t>SOFA-2 modestly improved overall discrimination for in-hospital mortality, mainly through its respiratory domain. Changes in subgroup performance gaps were small, depended on how SOFA-1 handles intubated patients, partly reflected age, and were not consistent across ICU types. These are descriptive associations in a single database; we draw no causal or fairness conclusions.</w:t>
      </w:r>
    </w:p>
    <w:p>
      <w:r>
        <w:rPr>
          <w:b/>
          <w:sz w:val="20"/>
        </w:rPr>
        <w:t xml:space="preserve">Keywords: </w:t>
      </w:r>
      <w:r>
        <w:rPr>
          <w:i w:val="0"/>
          <w:sz w:val="20"/>
        </w:rPr>
        <w:t>SOFA-2; SOFA; organ dysfunction; critical care; MIMIC-IV; subgroup analysis; discrimination; calibration</w:t>
      </w:r>
    </w:p>
    <w:p>
      <w:pPr>
        <w:pStyle w:val="Heading1"/>
      </w:pPr>
      <w:r>
        <w:t>1. Introduction</w:t>
      </w:r>
    </w:p>
    <w:p>
      <w:r>
        <w:rPr>
          <w:i w:val="0"/>
        </w:rPr>
        <w:t>The Sequential Organ Failure Assessment (SOFA) score summarizes dysfunction in six organ systems on a 0–24 scale and is among the most widely used severity measures in intensive care [1]. It was designed to describe organ dysfunction, not to predict death, yet SOFA values are routinely related to mortality. In 2025 an international group published SOFA-2, which keeps six organ systems but adds contemporary organ-support treatments and revised thresholds; its authors reported good predictive validity for ICU mortality across ten cohorts [2,3].</w:t>
      </w:r>
    </w:p>
    <w:p>
      <w:r>
        <w:rPr>
          <w:i w:val="0"/>
        </w:rPr>
        <w:t>A score that discriminates well overall can still discriminate worse within a subgroup, and a change to the score can alter that pattern. Because SOFA-2 changes how respiratory, circulatory, renal and neurological dysfunction are scored, including how intubated and sedated patients are handled, it is reasonable to ask whether it changes performance differently across patient groups. To our knowledge this has not been examined within a single cohort using paired comparisons.</w:t>
      </w:r>
    </w:p>
    <w:p>
      <w:r>
        <w:rPr>
          <w:i w:val="0"/>
        </w:rPr>
        <w:t>We therefore compared SOFA-1 and SOFA-2 on the same patients, outcome and observation window in MIMIC-IV. We asked (i) whether SOFA-2 changes overall mortality discrimination, (ii) whether it changes discrimination and calibration within subgroups defined by sex, race and insurance, (iii) whether it changes the gaps between subgroups, and (iv) which domain changes drive any difference. Both scores were developed to describe organ dysfunction, and we use mortality only as an external check on validity; we do not frame either score as a prediction model.</w:t>
      </w:r>
    </w:p>
    <w:p>
      <w:pPr>
        <w:pStyle w:val="Heading1"/>
      </w:pPr>
      <w:r>
        <w:t>2. Methods</w:t>
      </w:r>
    </w:p>
    <w:p>
      <w:pPr>
        <w:pStyle w:val="Heading2"/>
      </w:pPr>
      <w:r>
        <w:t>2.1 Data and cohort</w:t>
      </w:r>
    </w:p>
    <w:p>
      <w:r>
        <w:rPr>
          <w:i w:val="0"/>
        </w:rPr>
        <w:t>We used MIMIC-IV v3.1 [4], a de-identified database of admissions to a tertiary care center. We included adult ICU stays and kept the first ICU stay of each hospitalization, which mirrors the exclusion of ICU readmissions within the same hospital stay in the SOFA-2 derivation [2]. Of 94,458 ICU stays (85,242 hospitalizations, 65,366 patients), 14 stays with missing or invalid ICU timestamps were excluded, leaving 85,228 stays from 65,354 patients (Fig. 1). Patients could contribute more than one hospitalization; all resampling was done by patient.</w:t>
      </w:r>
    </w:p>
    <w:p>
      <w:pPr>
        <w:pStyle w:val="Heading2"/>
      </w:pPr>
      <w:r>
        <w:t>2.2 Observation window, missing data and outcomes</w:t>
      </w:r>
    </w:p>
    <w:p>
      <w:r>
        <w:rPr>
          <w:i w:val="0"/>
        </w:rPr>
        <w:t>Both scores used the worst value of each component in the first 24 hours after ICU admission (from admission to 24 hours, half-open), as in the SOFA-2 derivation. A component with no measurement was scored 0, the primary missing-data rule recommended for SOFA-2 [2]; complete-case and a window extended 6 hours before admission were prespecified sensitivity analyses. The primary outcome was in-hospital mortality. ICU mortality (death during the ICU stay) was secondary because it was the outcome in the SOFA-2 validation [2].</w:t>
      </w:r>
    </w:p>
    <w:p>
      <w:pPr>
        <w:pStyle w:val="Heading2"/>
      </w:pPr>
      <w:r>
        <w:t>2.3 Score implementation</w:t>
      </w:r>
    </w:p>
    <w:p>
      <w:r>
        <w:rPr>
          <w:i w:val="0"/>
        </w:rPr>
        <w:t>Each score was implemented independently from raw tables on a shared cleaned input set, so differences arise only from the score definitions. Physiologic plausibility limits were set by us (the consensus ranges in the SOFA-2 supplement were not available to us) and are listed in the repository.</w:t>
      </w:r>
    </w:p>
    <w:p>
      <w:r>
        <w:rPr>
          <w:b/>
        </w:rPr>
        <w:t xml:space="preserve">SOFA-1. </w:t>
      </w:r>
      <w:r>
        <w:rPr>
          <w:i w:val="0"/>
        </w:rPr>
        <w:t>SOFA-1 followed the original definition [1]. Because the original paper does not say how to score the verbal GCS component in intubated patients, we prespecified two conventions and report both throughout: (a) the MIMIC community convention, which scores intubated patients as GCS 15; and (b) as charted, where the verbal component of an intubated patient is scored 1. The as-charted version is the prespecified headline comparator. Respiratory support meant invasive ventilation; PaO2/FiO2 used arterial samples only. Missing GCS components were carried forward for up to 6 hours and otherwise set to normal; urine output was used only for stays of at least 22 hours (scaled to 24 hours); cardiovascular points used dopamine, dobutamine, epinephrine and norepinephrine only, as in the original definition; infusion rows with a paused status were ignored.</w:t>
      </w:r>
    </w:p>
    <w:p>
      <w:r>
        <w:rPr>
          <w:b/>
        </w:rPr>
        <w:t xml:space="preserve">SOFA-2. </w:t>
      </w:r>
      <w:r>
        <w:rPr>
          <w:i w:val="0"/>
        </w:rPr>
        <w:t>SOFA-2 followed Table 2 of the SOFA-2 manuscript [2], including the SpO2/FiO2 fallback (used only when SpO2 was below 98%, a charted FiO2 was available from the preceding 4 hours, and no arterial PaO2/FiO2 was recorded within 60 minutes), ventilatory support defined as invasive ventilation, non-invasive ventilation or high-flow nasal oxygen with a maximum of 2 respiratory points without such support, ECMO, vasopressor scoring from the summed norepinephrine and epinephrine dose and other agents for infusions lasting at least 1 hour, urine output per kilogram per hour, renal replacement therapy including chronic dialysis and the criteria-based rule, and one brain point for treatment with antipsychotics for delirium. For sedated patients the last GCS before sedation was used (0 points if none) and, for patients whose GCS could not be fully assessed, the motor component alone, using our own mapping of the Table 2 descriptors to points (motor 6 = 0 points, 5 = 1, 4 = 2, 3 = 3, 1–2 = 4). Because Table 2 does not define sedation, we prespecified a broad definition (continuous infusion of a sedative or fentanyl; a bolus of midazolam, lorazepam, fentanyl or ketamine in the previous 2 hours (propofol and dexmedetomidine boluses were not captured); or a Richmond Agitation–Sedation Scale score of −3 or below in the previous 4 hours). The infusion-only definition was a sensitivity analysis. Ceiling-of-treatment rules and the base-versus-salt form of norepinephrine could not be determined in MIMIC-IV. Peritoneal dialysis counted as renal replacement therapy, and chronic dialysis was identified from diagnosis codes (end-stage renal disease or dialysis dependence) or the charted dialysis flag.</w:t>
      </w:r>
    </w:p>
    <w:p>
      <w:pPr>
        <w:pStyle w:val="Heading2"/>
      </w:pPr>
      <w:r>
        <w:t>2.4 Subgroups</w:t>
      </w:r>
    </w:p>
    <w:p>
      <w:r>
        <w:rPr>
          <w:i w:val="0"/>
        </w:rPr>
        <w:t>Subgroups were fixed from category counts alone, before any outcome was examined: sex (male, female); race and ethnicity grouped as White, Black, Hispanic/Latino, Asian and Other, with unknown, unable-to-obtain and declined records described but excluded from race comparisons; and insurance (Medicare, Medicaid, Private; other or missing described only). Reference groups were male, White and Medicare, the largest group in each factor. Race and insurance are recorded administrative categories; insurance is a rough socioeconomic proxy and is strongly tied to age in this cohort.</w:t>
      </w:r>
    </w:p>
    <w:p>
      <w:pPr>
        <w:pStyle w:val="Heading2"/>
      </w:pPr>
      <w:r>
        <w:t>2.5 Statistical analysis</w:t>
      </w:r>
    </w:p>
    <w:p>
      <w:r>
        <w:rPr>
          <w:i w:val="0"/>
        </w:rPr>
        <w:t>Discrimination was the area under the receiver operating characteristic curve (AUROC). The paired difference in AUROC (SOFA-2 minus SOFA-1) was estimated with a patient-level cluster bootstrap (5,000 replicates, seed 20251007; the calibration analyses used 2,000 replicates, and the decomposition and SpO2 analyses used 2,000 replicates, with the same seed and resampling) that resamples patients and keeps each stay’s SOFA-1 and SOFA-2 values together; we report percentile 95% intervals and two-sided bootstrap p-values and, as a cross-check for the overall difference, the paired DeLong test [5]. We never inferred a difference from the overlap of separate intervals. A subgroup gap was the AUROC of the reference group minus the AUROC of the comparison group; the change in the gap was the SOFA-2 gap minus the SOFA-1 gap, with intervals from the same replicates. Because the sign of a gap depends on which group is the reference, we also report the gap itself.</w:t>
      </w:r>
    </w:p>
    <w:p>
      <w:r>
        <w:rPr>
          <w:i w:val="0"/>
        </w:rPr>
        <w:t>SOFA is not a probability model, so calibration analysis was descriptive. We report observed mortality by score band, a pooled logistic curve (logit mortality = a + b × score, fitted on all stays) as a reference, the ratio of observed to expected deaths (O/E) in each subgroup relative to that curve, and calibration disparity, defined as log(O/E of the group) minus log(O/E of the reference group), and its change between scores. No model was tuned to improve calibration. Primary comparisons were the overall and subgroup AUROC changes and the changes in gaps for the headline comparator and in-hospital mortality; all other results are labeled co-primary or exploratory, and we emphasize effect sizes with intervals over p-values.</w:t>
      </w:r>
    </w:p>
    <w:p>
      <w:pPr>
        <w:pStyle w:val="Heading2"/>
      </w:pPr>
      <w:r>
        <w:t>2.6 Sensitivity, exploratory and post hoc analyses</w:t>
      </w:r>
    </w:p>
    <w:p>
      <w:r>
        <w:rPr>
          <w:i w:val="0"/>
        </w:rPr>
        <w:t>Prespecified sensitivity analyses were: ICU mortality; infusion-only sedation; a 6-hour pre-admission lookback window; norepinephrine dose halved; SOFA-2 without the criteria-based renal replacement rule; complete-case stays; patients under 65 years (because insurance is tied to age); and analyses within each major ICU type. Two further analyses were prespecified as exploratory: a domain decomposition, in which one SOFA-2 domain at a time replaces its SOFA-1 counterpart in the SOFA-1 total, and a comparison of respiratory points derived from paired SpO2 and arterial PaO2 measurements (within 10 minutes, same FiO2) by group. Separating the SpO2/FiO2 fallback from the new respiratory thresholds within the decomposition was added after seeing the first decomposition and is post hoc. Prespecified analyses that were not performed: a domain-available cohort; first ICU stay per patient; a first-hour plus 24-hour window; SOFA-1 with the SOFA-2 brain rules; excluding patients with a psychotic or bipolar disorder diagnosis and adding dexmedetomidine to the delirium drugs; counting mixed-specimen blood gases; counting high-flow nebulizer oxygen as high-flow nasal oxygen; counting paused infusion segments; excluding peritoneal dialysis; including operating-room and recovery-room urine; and restricting to stays of at least 24 hours.</w:t>
      </w:r>
    </w:p>
    <w:p>
      <w:pPr>
        <w:pStyle w:val="Heading2"/>
      </w:pPr>
      <w:r>
        <w:t>2.7 Protocol and reproducibility</w:t>
      </w:r>
    </w:p>
    <w:p>
      <w:r>
        <w:rPr>
          <w:i w:val="0"/>
        </w:rPr>
        <w:t>The analysis protocol was committed to version control (commit 8709b89) before any analysis relating scores to mortality; overall mortality counts and death timing had been viewed during cohort construction and informed the ICU-mortality definition. One amendment was made before outcomes were examined (commit 3002996): an outcome-blind audit showed that the number of stays with a SOFA-2 brain score of 4 fell by 59% (7,971 to 3,271) when sedation was defined broadly, so the broad definition became primary and the infusion-only definition a sensitivity analysis. The primary results were generated at commit 3002996 (recorded in every result manifest). A second amendment, recorded after the primary results, designates SOFA-1 as charted as the headline comparator in the analysis script (the locked protocol lists both SOFA-1 versions as co-primary, and both are reported in full), lists the prespecified analyses that were not performed, and retires references in the protocol to files that were never created. The age, care-unit, domain-decomposition and SpO2 analyses were listed in the locked protocol; separating the SpO2 fallback within the decomposition is post hoc. All commits are listed in Supplementary Table S7, and every analysis run is listed with its replicates, seed and commit in Supplementary Table S8. Patient-level data are not shared.</w:t>
      </w:r>
    </w:p>
    <w:p>
      <w:pPr>
        <w:pStyle w:val="Heading1"/>
      </w:pPr>
      <w:r>
        <w:t>3. Results</w:t>
      </w:r>
    </w:p>
    <w:p>
      <w:pPr>
        <w:pStyle w:val="Heading2"/>
      </w:pPr>
      <w:r>
        <w:t>3.1 Cohort and score distributions</w:t>
      </w:r>
    </w:p>
    <w:p>
      <w:r>
        <w:rPr>
          <w:i w:val="0"/>
        </w:rPr>
        <w:t>The cohort comprised 85,228 stays (Fig. 1; Table 1). Median age was 66 years (interquartile range 55–77), 44.2% were women, 9,468 (11.1%) died in hospital and 6,226 (7.3%) died in the ICU. Median total score in the first 24 hours was 3 (IQR 2–6) for SOFA-1 under the community convention, 4 (2–8) for SOFA-1 as charted and 4 (2–6) for SOFA-2 (means 4.04, 5.04 and 4.33; Fig. 2). Measurement coverage differed by domain: a respiratory score could be computed in 32.2% of stays for SOFA-1 (arterial PaO2/FiO2 only) and 43.9% for SOFA-2 (with the SpO2/FiO2 fallback), and bilirubin was available in 43.4% of stays.</w:t>
      </w:r>
    </w:p>
    <w:p>
      <w:pPr>
        <w:pStyle w:val="Heading2"/>
      </w:pPr>
      <w:r>
        <w:t>3.2 Overall discrimination</w:t>
      </w:r>
    </w:p>
    <w:p>
      <w:r>
        <w:rPr>
          <w:i w:val="0"/>
        </w:rPr>
        <w:t>For in-hospital mortality, AUROC was 0.762 (95% CI 0.757 to 0.767) for SOFA-2, 0.743 (0.738 to 0.748) for SOFA-1 as charted and 0.735 (0.730 to 0.741) for SOFA-1 under the community convention (Table 2). The paired difference was +0.019 (+0.016 to +0.023) against SOFA-1 as charted and +0.027 (+0.023 to +0.031) against the community convention; the DeLong cross-check agreed. For ICU mortality, AUROC was 0.804, 0.791 and 0.767, with differences of +0.014 (+0.010 to +0.018) and +0.037 (+0.033 to +0.041), similar in size to the gain reported in the SOFA-2 derivation [2].</w:t>
      </w:r>
    </w:p>
    <w:p>
      <w:pPr>
        <w:pStyle w:val="Heading2"/>
      </w:pPr>
      <w:r>
        <w:t>3.3 Subgroup discrimination and gaps</w:t>
      </w:r>
    </w:p>
    <w:p>
      <w:r>
        <w:rPr>
          <w:i w:val="0"/>
        </w:rPr>
        <w:t>SOFA-2 AUROC was similar across sex (0.762 male, 0.767 female) and race (0.748–0.776) and was lower for Medicare (0.734) than Medicaid (0.797) or Private (0.807) coverage (Table 3, Fig. 3). Against SOFA-1 as charted, the gain was larger in men (+0.029, 95% CI +0.025 to +0.033) than women (+0.007, 95% CI +0.002 to +0.013) and in White (+0.027, 95% CI +0.022 to +0.031) than Black patients (+0.002, 95% CI −0.009 to +0.012).</w:t>
      </w:r>
    </w:p>
    <w:p>
      <w:r>
        <w:rPr>
          <w:i w:val="0"/>
        </w:rPr>
        <w:t>With SOFA-1 as charted, men and Black patients had lower AUROC than women and White patients (gaps of −0.027 and −0.035), so a positive change means the gap moved toward zero. Under SOFA-2 the gaps were −0.005 and −0.010; the changes were +0.021 (+0.015 to +0.028) for male–female and +0.025 (+0.013 to +0.036) for White–Black. The Medicare–Private gap widened slightly (−0.012, 95% CI −0.020 to −0.003). Other changes had intervals that included zero (Table 4, Fig. 4). Against the community convention, no change in any gap was distinguishable from zero. In ICU mortality the sex and White–Black changes were similar (+0.017, 95% CI +0.009 to +0.025; +0.025, 95% CI +0.011 to +0.039); the Medicare–Private change was not distinguishable from zero, and the Medicare–Medicaid gap changed slightly (+0.013, 95% CI +0.001 to +0.026; Supplementary Table S6).</w:t>
      </w:r>
    </w:p>
    <w:p>
      <w:pPr>
        <w:pStyle w:val="Heading2"/>
      </w:pPr>
      <w:r>
        <w:t>3.4 Calibration</w:t>
      </w:r>
    </w:p>
    <w:p>
      <w:r>
        <w:rPr>
          <w:i w:val="0"/>
        </w:rPr>
        <w:t>At the same score, observed mortality differed substantially between groups (Table 5, Fig. 5): O/E for SOFA-2 was 0.92 in men and 1.12 in women; 1.16, 0.78 and 0.72 for Medicare, Medicaid and Private; and 0.73 to 1.07 across race groups. In the full cohort these disparities changed little between scores: the largest absolute change in calibration disparity was 0.045 log units against SOFA-1 as charted and 0.033 against the community convention (about 5% and 3% in relative O/E). Observed mortality at mid-range scores was visibly lower for SOFA-1 as charted than for the other two scores (Fig. 5A). In patients under 65 the insurance differences narrowed (O/E 1.04 Medicare, 0.92 Private), consistent with an age effect for insurance; the spread of O/E across race groups did not narrow (0.34 in the full cohort, 0.36 under 65), and the Medicare–Private calibration disparity changed more against SOFA-1 as charted in this subset (+0.102, 95% CI +0.082 to +0.123).</w:t>
      </w:r>
    </w:p>
    <w:p>
      <w:pPr>
        <w:pStyle w:val="Heading2"/>
      </w:pPr>
      <w:r>
        <w:t>3.5 Which SOFA-2 changes drive the results</w:t>
      </w:r>
    </w:p>
    <w:p>
      <w:r>
        <w:rPr>
          <w:i w:val="0"/>
        </w:rPr>
        <w:t>Replacing only the respiratory domain reproduced the entire gain in AUROC (+0.019, 95% CI +0.017 to +0.021, against SOFA-1 as charted; full SOFA-2 +0.019); the brain domain alone contributed +0.004 (+0.002 to +0.006), and the cardiovascular (−0.003) and kidney (−0.004) changes slightly lowered discrimination (Fig. 6, Supplementary Table S3). Restricting the respiratory change to the new PaO2/FiO2 thresholds and support rules gave only +0.005 (+0.004 to +0.005), so about 74% of the respiratory gain (91% against the community convention) came from scoring additional patients through the SpO2/FiO2 fallback (post hoc split). The changes in subgroup gaps came from the brain domain instead: swapping it alone changed the male–female gap by +0.021 (+0.016 to +0.026) and the White–Black gap by +0.017 (+0.009 to +0.025), and the Medicare–Private gap by −0.014 (−0.020 to −0.008).</w:t>
      </w:r>
    </w:p>
    <w:p>
      <w:pPr>
        <w:pStyle w:val="Heading2"/>
      </w:pPr>
      <w:r>
        <w:t>3.6 Sensitivity analyses</w:t>
      </w:r>
    </w:p>
    <w:p>
      <w:r>
        <w:rPr>
          <w:i w:val="0"/>
        </w:rPr>
        <w:t>Results were robust to a 6-hour pre-admission window, halving the norepinephrine dose, and removing the criteria-based renal rule (overall AUROC change +0.019, +0.018 and +0.017; gap changes essentially unchanged; Supplementary Table S1). The result was sensitive to how sedation is defined: with the infusion-only definition SOFA-2 reached an AUROC of 0.777 and the change against SOFA-1 as charted was +0.034 (+0.031 to +0.037), because deep sedation or unresponsiveness is itself prognostic. In the 11,488 complete-case stays the AUROC change was smaller (+0.010, 95% CI +0.002 to +0.016); the sex and White–Black gap changes were not distinguishable from zero, and the Medicare–Private gap widened slightly, as in the full cohort (−0.018, 95% CI −0.034 to −0.001). In patients under 65 the White–Black gap change was no longer distinguishable from zero (+0.009, 95% CI −0.010 to +0.027), while the male–female change persisted (+0.014, 95% CI +0.003 to +0.025).</w:t>
      </w:r>
    </w:p>
    <w:p>
      <w:r>
        <w:rPr>
          <w:i w:val="0"/>
        </w:rPr>
        <w:t>The advantage of SOFA-2 over SOFA-1 as charted was not uniform across ICU types (Supplementary Table S2): it was large in the cardiac-surgery ICU and present in the medical/surgical ICU, and absent or slightly negative in the medical, surgical, coronary care and trauma ICUs. Within the cardiac-surgery ICU, SOFA-1 as charted had the lowest AUROC of the three scores.</w:t>
      </w:r>
    </w:p>
    <w:p>
      <w:pPr>
        <w:pStyle w:val="Heading2"/>
      </w:pPr>
      <w:r>
        <w:t>3.7 SpO2/FiO2 versus PaO2/FiO2 scoring by group (exploratory)</w:t>
      </w:r>
    </w:p>
    <w:p>
      <w:r>
        <w:rPr>
          <w:i w:val="0"/>
        </w:rPr>
        <w:t>Among 13,112 paired measurements, the SpO2/FiO2 route gave more respiratory points than the PaO2/FiO2 route on average (Supplementary Table S4); the level of this difference is not interpretable as bias, because pairs were restricted to SpO2 below 98%. The difference between groups was informative: the excess was smaller in Black patients (mean 0.52 points, 95% CI 0.44 to 0.59) than in White patients (0.74, 0.72 to 0.77), a difference of about −0.23 points (approximate 95% CI −0.31 to −0.15, normal approximation), with the SpO2 route scoring lower than the arterial route in 6.6% of Black and 2.4% of White pairs. The direction is consistent with reports that pulse oximetry can overestimate oxygenation in patients with darker skin [6], but we could not measure arterial saturation and treat this as hypothesis-generating. The share of stays whose respiratory score relied on SpO2 alone was similar across race groups (10.8% Black, 11.5% White).</w:t>
      </w:r>
    </w:p>
    <w:p>
      <w:pPr>
        <w:pStyle w:val="Heading1"/>
      </w:pPr>
      <w:r>
        <w:t>4. Discussion</w:t>
      </w:r>
    </w:p>
    <w:p>
      <w:r>
        <w:rPr>
          <w:i w:val="0"/>
        </w:rPr>
        <w:t>In 85,228 first ICU stays, SOFA-2 discriminated in-hospital mortality better than SOFA-1 by 0.02 to 0.03 AUROC, similar in size to the gain reported in the SOFA-2 derivation for ICU mortality [2]. Three findings qualify that headline. First, the gain came almost entirely from the respiratory domain, and mostly from the SpO2/FiO2 fallback, which scores patients who lack an arterial blood gas; it reflects broader measurement coverage more than new thresholds. Second, the apparent narrowing of the sex and race gaps against SOFA-1 as charted came from the brain-domain rule for intubated and sedated patients. It was absent against the community convention, in the complete-case subset and within most ICU types, and in patients under 65 only the sex change persisted, so it should be read as a feature of one comparison, not a general property of SOFA-2. Third, differences in calibration between groups were large but almost identical for the two scores, and the insurance differences largely disappeared in younger patients, which points to factors outside SOFA, chiefly age, rather than to the score update.</w:t>
      </w:r>
    </w:p>
    <w:p>
      <w:r>
        <w:rPr>
          <w:i w:val="0"/>
        </w:rPr>
        <w:t>The sedation result deserves emphasis. The footnote of Table 2 that replaces the GCS of a sedated patient with the last pre-sedation value is intended to keep the score about organ dysfunction. When we implemented this broadly, mortality discrimination fell compared with leaving deeply sedated patients scored as unresponsive, because depth of sedation tracks illness severity. Mortality AUROC therefore rewards the opposite of the stated intent of the rule, a reminder that agreement with mortality is not the same as validity for describing organ dysfunction. We chose the broad definition before examining any outcome and report the alternative in full.</w:t>
      </w:r>
    </w:p>
    <w:p>
      <w:r>
        <w:rPr>
          <w:i w:val="0"/>
        </w:rPr>
        <w:t>The exploratory SpO2 analysis raises a question that needs data we did not extract. If pulse-oximetry error differs by race, scoring respiratory dysfunction from SpO2 could introduce group-dependent measurement differences into a score whose respiratory domain now carries most of its added discriminative value. The paired comparison suggests that the SpO2 route scores relatively fewer points in Black patients; confirming this would require arterial saturation and a formal test of occult hypoxemia.</w:t>
      </w:r>
    </w:p>
    <w:p>
      <w:pPr>
        <w:pStyle w:val="Heading2"/>
      </w:pPr>
      <w:r>
        <w:t>4.1 Limitations</w:t>
      </w:r>
    </w:p>
    <w:p>
      <w:r>
        <w:rPr>
          <w:b/>
        </w:rPr>
        <w:t xml:space="preserve">Single database and design. </w:t>
      </w:r>
      <w:r>
        <w:rPr>
          <w:i w:val="0"/>
        </w:rPr>
        <w:t>All data come from one tertiary center and the study is retrospective and observational; results may not transfer to other settings, and we make no causal claims.</w:t>
      </w:r>
    </w:p>
    <w:p>
      <w:r>
        <w:rPr>
          <w:b/>
        </w:rPr>
        <w:t xml:space="preserve">Score implementation. </w:t>
      </w:r>
      <w:r>
        <w:rPr>
          <w:i w:val="0"/>
        </w:rPr>
        <w:t>SOFA-2 was implemented from Table 2 of the author-accepted manuscript; the published version and the supplement (plausible ranges, mapping tables) were not available to us, so physiologic limits are our own. Ceiling-of-treatment rules, norepinephrine base-versus-salt form and the indication for antipsychotics could not be determined from MIMIC-IV, and the sedation definition and its 2-hour and 4-hour windows are our operationalization. The conclusions depend on the SOFA-1 convention for intubated patients and on the sedation definition, as shown.</w:t>
      </w:r>
    </w:p>
    <w:p>
      <w:r>
        <w:rPr>
          <w:b/>
        </w:rPr>
        <w:t xml:space="preserve">Missing data. </w:t>
      </w:r>
      <w:r>
        <w:rPr>
          <w:i w:val="0"/>
        </w:rPr>
        <w:t>Missing components were scored 0 as recommended, but measurement was uneven (a respiratory score could be computed in 32% of stays under SOFA-1 and bilirubin was available in 43%) and differed by group. Complete-case analyses, which are a selected, sicker subset, gave smaller effects with wide intervals.</w:t>
      </w:r>
    </w:p>
    <w:p>
      <w:r>
        <w:rPr>
          <w:b/>
        </w:rPr>
        <w:t xml:space="preserve">Outcome and purpose. </w:t>
      </w:r>
      <w:r>
        <w:rPr>
          <w:i w:val="0"/>
        </w:rPr>
        <w:t>Both scores describe organ dysfunction; mortality is an indirect check, ICU deaths were defined as death during the ICU stay, and no inference about bedside decisions can be drawn.</w:t>
      </w:r>
    </w:p>
    <w:p>
      <w:r>
        <w:rPr>
          <w:b/>
        </w:rPr>
        <w:t xml:space="preserve">Subgroups. </w:t>
      </w:r>
      <w:r>
        <w:rPr>
          <w:i w:val="0"/>
        </w:rPr>
        <w:t>Race and insurance are administrative categories; insurance is confounded with age; groups other than White had few deaths, so their intervals are wide, and results for the smallest groups and ICU strata are unstable. Many comparisons were made; only the prespecified primary set should be read as confirmatory.</w:t>
      </w:r>
    </w:p>
    <w:p>
      <w:r>
        <w:rPr>
          <w:b/>
        </w:rPr>
        <w:t xml:space="preserve">Respiratory analysis. </w:t>
      </w:r>
      <w:r>
        <w:rPr>
          <w:i w:val="0"/>
        </w:rPr>
        <w:t>The SpO2 comparison used paired measurements restricted to SpO2 below 98% and could not assess arterial saturation, so its absolute level is not interpretable and its group difference is exploratory.</w:t>
      </w:r>
    </w:p>
    <w:p>
      <w:pPr>
        <w:pStyle w:val="Heading1"/>
      </w:pPr>
      <w:r>
        <w:t>5. Conclusion</w:t>
      </w:r>
    </w:p>
    <w:p>
      <w:r>
        <w:rPr>
          <w:i w:val="0"/>
        </w:rPr>
        <w:t>SOFA-2 modestly improved overall discrimination of in-hospital mortality in MIMIC-IV, chiefly through its respiratory domain. Differences in subgroup performance gaps were small, depended on how SOFA-1 scores intubated patients, partly reflected age, and were not consistent across ICU types, while calibration differences between groups were large but nearly unchanged by the update. These findings argue for transparent reporting of how each score is implemented and for evaluating any use of SOFA-2 beyond describing organ dysfunction within the populations where it will be used.</w:t>
      </w:r>
    </w:p>
    <w:p>
      <w:pPr>
        <w:pStyle w:val="Heading2"/>
      </w:pPr>
      <w:r>
        <w:t>Declarations</w:t>
      </w:r>
    </w:p>
    <w:p>
      <w:r>
        <w:rPr>
          <w:i w:val="0"/>
          <w:sz w:val="20"/>
        </w:rPr>
        <w:t>Data are from MIMIC-IV, a de-identified database accessed under the PhysioNet credentialed data use agreement; patient-level data are not redistributed.</w:t>
      </w:r>
    </w:p>
    <w:p>
      <w:r>
        <w:rPr>
          <w:b/>
          <w:sz w:val="20"/>
        </w:rPr>
        <w:t xml:space="preserve">Author contributions: </w:t>
      </w:r>
      <w:r>
        <w:rPr>
          <w:i w:val="0"/>
          <w:sz w:val="20"/>
        </w:rPr>
        <w:t>[to be provided by the authors]</w:t>
      </w:r>
    </w:p>
    <w:p>
      <w:r>
        <w:rPr>
          <w:b/>
          <w:sz w:val="20"/>
        </w:rPr>
        <w:t xml:space="preserve">Funding: </w:t>
      </w:r>
      <w:r>
        <w:rPr>
          <w:i w:val="0"/>
          <w:sz w:val="20"/>
        </w:rPr>
        <w:t>[to be provided by the authors]</w:t>
      </w:r>
    </w:p>
    <w:p>
      <w:r>
        <w:rPr>
          <w:b/>
          <w:sz w:val="20"/>
        </w:rPr>
        <w:t xml:space="preserve">Competing interests: </w:t>
      </w:r>
      <w:r>
        <w:rPr>
          <w:i w:val="0"/>
          <w:sz w:val="20"/>
        </w:rPr>
        <w:t>[to be provided by the authors]</w:t>
      </w:r>
    </w:p>
    <w:p>
      <w:pPr>
        <w:pStyle w:val="Heading2"/>
      </w:pPr>
      <w:r>
        <w:t>References</w:t>
      </w:r>
    </w:p>
    <w:p>
      <w:pPr>
        <w:spacing w:after="40"/>
      </w:pPr>
      <w:r>
        <w:rPr>
          <w:i w:val="0"/>
          <w:sz w:val="19"/>
        </w:rPr>
        <w:t>[1] Vincent JL, Moreno R, Takala J, et al. The SOFA (Sepsis-related Organ Failure Assessment) score to describe organ dysfunction/failure. Intensive Care Med. 1996;22(7):707-710. doi:10.1007/BF01709751</w:t>
      </w:r>
    </w:p>
    <w:p>
      <w:pPr>
        <w:spacing w:after="40"/>
      </w:pPr>
      <w:r>
        <w:rPr>
          <w:i w:val="0"/>
          <w:sz w:val="19"/>
        </w:rPr>
        <w:t>[2] Ranzani OT, Singer M, Salluh JIF, et al. Development and validation of the Sequential Organ Failure Assessment (SOFA)-2 score. JAMA. 2025;334(23):2090-2103. doi:10.1001/jama.2025.20516</w:t>
      </w:r>
    </w:p>
    <w:p>
      <w:pPr>
        <w:spacing w:after="40"/>
      </w:pPr>
      <w:r>
        <w:rPr>
          <w:i w:val="0"/>
          <w:sz w:val="19"/>
        </w:rPr>
        <w:t>[3] Moreno R, Rhodes A, Ranzani O, et al. Rationale and methodological approach underlying the development of the Sequential Organ Failure Assessment (SOFA)-2 score: a consensus statement. JAMA Netw Open. 2025;8(10):e2545040. doi:10.1001/jamanetworkopen.2025.45040</w:t>
      </w:r>
    </w:p>
    <w:p>
      <w:pPr>
        <w:spacing w:after="40"/>
      </w:pPr>
      <w:r>
        <w:rPr>
          <w:i w:val="0"/>
          <w:sz w:val="19"/>
        </w:rPr>
        <w:t>[4] Johnson AEW, Bulgarelli L, Shen L, et al. MIMIC-IV, a freely accessible electronic health record dataset. Sci Data. 2023;10(1):1. doi:10.1038/s41597-022-01899-x</w:t>
      </w:r>
    </w:p>
    <w:p>
      <w:pPr>
        <w:spacing w:after="40"/>
      </w:pPr>
      <w:r>
        <w:rPr>
          <w:i w:val="0"/>
          <w:sz w:val="19"/>
        </w:rPr>
        <w:t>[5] DeLong ER, DeLong DM, Clarke-Pearson DL. Comparing the areas under two or more correlated receiver operating characteristic curves: a nonparametric approach. Biometrics. 1988;44(3):837-845.</w:t>
      </w:r>
    </w:p>
    <w:p>
      <w:pPr>
        <w:spacing w:after="40"/>
      </w:pPr>
      <w:r>
        <w:rPr>
          <w:i w:val="0"/>
          <w:sz w:val="19"/>
        </w:rPr>
        <w:t>[6] Sjoding MW, Dickson RP, Iwashyna TJ, Gay SE, Valley TS. Racial bias in pulse oximetry measurement. N Engl J Med. 2020;383(25):2477-2478. doi:10.1056/NEJMc2029240</w:t>
      </w:r>
    </w:p>
    <w:p>
      <w:r>
        <w:br w:type="page"/>
      </w:r>
    </w:p>
    <w:p>
      <w:pPr>
        <w:keepNext/>
        <w:jc w:val="center"/>
      </w:pPr>
      <w:r>
        <w:drawing>
          <wp:inline xmlns:a="http://schemas.openxmlformats.org/drawingml/2006/main" xmlns:pic="http://schemas.openxmlformats.org/drawingml/2006/picture">
            <wp:extent cx="4754880" cy="3553097"/>
            <wp:docPr id="1" name="Picture 1"/>
            <wp:cNvGraphicFramePr>
              <a:graphicFrameLocks noChangeAspect="1"/>
            </wp:cNvGraphicFramePr>
            <a:graphic>
              <a:graphicData uri="http://schemas.openxmlformats.org/drawingml/2006/picture">
                <pic:pic>
                  <pic:nvPicPr>
                    <pic:cNvPr id="0" name="fig1_flow.png"/>
                    <pic:cNvPicPr/>
                  </pic:nvPicPr>
                  <pic:blipFill>
                    <a:blip r:embed="rId10"/>
                    <a:stretch>
                      <a:fillRect/>
                    </a:stretch>
                  </pic:blipFill>
                  <pic:spPr>
                    <a:xfrm>
                      <a:off x="0" y="0"/>
                      <a:ext cx="4754880" cy="3553097"/>
                    </a:xfrm>
                    <a:prstGeom prst="rect"/>
                  </pic:spPr>
                </pic:pic>
              </a:graphicData>
            </a:graphic>
          </wp:inline>
        </w:drawing>
      </w:r>
    </w:p>
    <w:p>
      <w:pPr>
        <w:spacing w:after="160"/>
      </w:pPr>
      <w:r>
        <w:rPr>
          <w:b/>
          <w:sz w:val="19"/>
        </w:rPr>
        <w:t xml:space="preserve">Figure 1. </w:t>
      </w:r>
      <w:r>
        <w:rPr>
          <w:sz w:val="19"/>
        </w:rPr>
        <w:t>Cohort flow.</w:t>
      </w:r>
    </w:p>
    <w:p>
      <w:pPr>
        <w:keepNext/>
        <w:spacing w:after="60"/>
      </w:pPr>
      <w:r>
        <w:rPr>
          <w:b/>
          <w:sz w:val="19"/>
        </w:rPr>
        <w:t xml:space="preserve">Table 1. </w:t>
      </w:r>
      <w:r>
        <w:rPr>
          <w:sz w:val="19"/>
        </w:rPr>
        <w:t>Cohort characteristics (first ICU stay per hospitalization).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4320"/>
            <w:shd w:val="clear" w:color="auto" w:fill="D9E2F3"/>
          </w:tcPr>
          <w:p>
            <w:pPr>
              <w:spacing w:after="0" w:line="240" w:lineRule="auto"/>
            </w:pPr>
            <w:r/>
            <w:r>
              <w:rPr>
                <w:b/>
                <w:sz w:val="17"/>
              </w:rPr>
              <w:t>Characteristic</w:t>
            </w:r>
          </w:p>
        </w:tc>
        <w:tc>
          <w:tcPr>
            <w:tcW w:type="dxa" w:w="2304"/>
            <w:shd w:val="clear" w:color="auto" w:fill="D9E2F3"/>
          </w:tcPr>
          <w:p>
            <w:pPr>
              <w:spacing w:after="0" w:line="240" w:lineRule="auto"/>
              <w:jc w:val="center"/>
            </w:pPr>
            <w:r/>
            <w:r>
              <w:rPr>
                <w:b/>
                <w:sz w:val="17"/>
              </w:rPr>
              <w:t>Stays, n (%)</w:t>
            </w:r>
          </w:p>
        </w:tc>
        <w:tc>
          <w:tcPr>
            <w:tcW w:type="dxa" w:w="2736"/>
            <w:shd w:val="clear" w:color="auto" w:fill="D9E2F3"/>
          </w:tcPr>
          <w:p>
            <w:pPr>
              <w:spacing w:after="0" w:line="240" w:lineRule="auto"/>
              <w:jc w:val="center"/>
            </w:pPr>
            <w:r/>
            <w:r>
              <w:rPr>
                <w:b/>
                <w:sz w:val="17"/>
              </w:rPr>
              <w:t>In-hospital deaths, n (% of group)</w:t>
            </w:r>
          </w:p>
        </w:tc>
      </w:tr>
      <w:tr>
        <w:trPr>
          <w:cantSplit w:val="true"/>
        </w:trPr>
        <w:tc>
          <w:tcPr>
            <w:tcW w:type="dxa" w:w="4320"/>
            <w:shd w:val="clear" w:color="auto" w:fill="F2F2F2"/>
          </w:tcPr>
          <w:p>
            <w:pPr>
              <w:spacing w:after="0" w:line="240" w:lineRule="auto"/>
            </w:pPr>
            <w:r/>
            <w:r>
              <w:rPr>
                <w:b/>
                <w:sz w:val="17"/>
              </w:rPr>
              <w:t>All stays</w:t>
            </w:r>
          </w:p>
        </w:tc>
        <w:tc>
          <w:tcPr>
            <w:tcW w:type="dxa" w:w="2304"/>
            <w:shd w:val="clear" w:color="auto" w:fill="F2F2F2"/>
          </w:tcPr>
          <w:p>
            <w:pPr>
              <w:spacing w:after="0" w:line="240" w:lineRule="auto"/>
            </w:pPr>
            <w:r/>
            <w:r>
              <w:rPr>
                <w:b/>
                <w:sz w:val="17"/>
              </w:rPr>
              <w:t>85,228</w:t>
            </w:r>
          </w:p>
        </w:tc>
        <w:tc>
          <w:tcPr>
            <w:tcW w:type="dxa" w:w="2736"/>
            <w:shd w:val="clear" w:color="auto" w:fill="F2F2F2"/>
          </w:tcPr>
          <w:p>
            <w:pPr>
              <w:spacing w:after="0" w:line="240" w:lineRule="auto"/>
            </w:pPr>
            <w:r/>
            <w:r>
              <w:rPr>
                <w:b/>
                <w:sz w:val="17"/>
              </w:rPr>
              <w:t>9,468 (11.1%)</w:t>
            </w:r>
          </w:p>
        </w:tc>
      </w:tr>
      <w:tr>
        <w:trPr>
          <w:cantSplit w:val="true"/>
        </w:trPr>
        <w:tc>
          <w:tcPr>
            <w:tcW w:type="dxa" w:w="4320"/>
          </w:tcPr>
          <w:p>
            <w:pPr>
              <w:spacing w:after="0" w:line="240" w:lineRule="auto"/>
            </w:pPr>
            <w:r/>
            <w:r>
              <w:rPr>
                <w:b w:val="0"/>
                <w:sz w:val="17"/>
              </w:rPr>
              <w:t>Age, median (IQR)</w:t>
            </w:r>
          </w:p>
        </w:tc>
        <w:tc>
          <w:tcPr>
            <w:tcW w:type="dxa" w:w="2304"/>
          </w:tcPr>
          <w:p>
            <w:pPr>
              <w:spacing w:after="0" w:line="240" w:lineRule="auto"/>
              <w:jc w:val="center"/>
            </w:pPr>
            <w:r/>
            <w:r>
              <w:rPr>
                <w:b w:val="0"/>
                <w:sz w:val="17"/>
              </w:rPr>
              <w:t>66 (55–77)</w:t>
            </w:r>
          </w:p>
        </w:tc>
        <w:tc>
          <w:tcPr>
            <w:tcW w:type="dxa" w:w="2736"/>
          </w:tcPr>
          <w:p>
            <w:pPr>
              <w:spacing w:after="0" w:line="240" w:lineRule="auto"/>
              <w:jc w:val="center"/>
            </w:pPr>
            <w:r/>
            <w:r>
              <w:rPr>
                <w:b w:val="0"/>
                <w:sz w:val="17"/>
              </w:rPr>
              <w:t>—</w:t>
            </w:r>
          </w:p>
        </w:tc>
      </w:tr>
      <w:tr>
        <w:trPr>
          <w:cantSplit w:val="true"/>
        </w:trPr>
        <w:tc>
          <w:tcPr>
            <w:tcW w:type="dxa" w:w="4320"/>
            <w:shd w:val="clear" w:color="auto" w:fill="F2F2F2"/>
          </w:tcPr>
          <w:p>
            <w:pPr>
              <w:spacing w:after="0" w:line="240" w:lineRule="auto"/>
            </w:pPr>
            <w:r/>
            <w:r>
              <w:rPr>
                <w:b/>
                <w:sz w:val="17"/>
              </w:rPr>
              <w:t>Sex</w:t>
            </w:r>
          </w:p>
        </w:tc>
        <w:tc>
          <w:tcPr>
            <w:tcW w:type="dxa" w:w="2304"/>
            <w:shd w:val="clear" w:color="auto" w:fill="F2F2F2"/>
          </w:tcPr>
          <w:p>
            <w:pPr>
              <w:spacing w:after="0" w:line="240" w:lineRule="auto"/>
            </w:pPr>
            <w:r/>
            <w:r>
              <w:rPr>
                <w:b/>
                <w:sz w:val="17"/>
              </w:rPr>
            </w:r>
          </w:p>
        </w:tc>
        <w:tc>
          <w:tcPr>
            <w:tcW w:type="dxa" w:w="2736"/>
            <w:shd w:val="clear" w:color="auto" w:fill="F2F2F2"/>
          </w:tcPr>
          <w:p>
            <w:pPr>
              <w:spacing w:after="0" w:line="240" w:lineRule="auto"/>
            </w:pPr>
            <w:r/>
            <w:r>
              <w:rPr>
                <w:b/>
                <w:sz w:val="17"/>
              </w:rPr>
            </w:r>
          </w:p>
        </w:tc>
      </w:tr>
      <w:tr>
        <w:trPr>
          <w:cantSplit w:val="true"/>
        </w:trPr>
        <w:tc>
          <w:tcPr>
            <w:tcW w:type="dxa" w:w="4320"/>
          </w:tcPr>
          <w:p>
            <w:pPr>
              <w:spacing w:after="0" w:line="240" w:lineRule="auto"/>
            </w:pPr>
            <w:r/>
            <w:r>
              <w:rPr>
                <w:b w:val="0"/>
                <w:sz w:val="17"/>
              </w:rPr>
              <w:t xml:space="preserve">   Male</w:t>
            </w:r>
          </w:p>
        </w:tc>
        <w:tc>
          <w:tcPr>
            <w:tcW w:type="dxa" w:w="2304"/>
          </w:tcPr>
          <w:p>
            <w:pPr>
              <w:spacing w:after="0" w:line="240" w:lineRule="auto"/>
              <w:jc w:val="center"/>
            </w:pPr>
            <w:r/>
            <w:r>
              <w:rPr>
                <w:b w:val="0"/>
                <w:sz w:val="17"/>
              </w:rPr>
              <w:t>47,520 (55.8%)</w:t>
            </w:r>
          </w:p>
        </w:tc>
        <w:tc>
          <w:tcPr>
            <w:tcW w:type="dxa" w:w="2736"/>
          </w:tcPr>
          <w:p>
            <w:pPr>
              <w:spacing w:after="0" w:line="240" w:lineRule="auto"/>
              <w:jc w:val="center"/>
            </w:pPr>
            <w:r/>
            <w:r>
              <w:rPr>
                <w:b w:val="0"/>
                <w:sz w:val="17"/>
              </w:rPr>
              <w:t>5,194 (10.9%)</w:t>
            </w:r>
          </w:p>
        </w:tc>
      </w:tr>
      <w:tr>
        <w:trPr>
          <w:cantSplit w:val="true"/>
        </w:trPr>
        <w:tc>
          <w:tcPr>
            <w:tcW w:type="dxa" w:w="4320"/>
          </w:tcPr>
          <w:p>
            <w:pPr>
              <w:spacing w:after="0" w:line="240" w:lineRule="auto"/>
            </w:pPr>
            <w:r/>
            <w:r>
              <w:rPr>
                <w:b w:val="0"/>
                <w:sz w:val="17"/>
              </w:rPr>
              <w:t xml:space="preserve">   Female</w:t>
            </w:r>
          </w:p>
        </w:tc>
        <w:tc>
          <w:tcPr>
            <w:tcW w:type="dxa" w:w="2304"/>
          </w:tcPr>
          <w:p>
            <w:pPr>
              <w:spacing w:after="0" w:line="240" w:lineRule="auto"/>
              <w:jc w:val="center"/>
            </w:pPr>
            <w:r/>
            <w:r>
              <w:rPr>
                <w:b w:val="0"/>
                <w:sz w:val="17"/>
              </w:rPr>
              <w:t>37,708 (44.2%)</w:t>
            </w:r>
          </w:p>
        </w:tc>
        <w:tc>
          <w:tcPr>
            <w:tcW w:type="dxa" w:w="2736"/>
          </w:tcPr>
          <w:p>
            <w:pPr>
              <w:spacing w:after="0" w:line="240" w:lineRule="auto"/>
              <w:jc w:val="center"/>
            </w:pPr>
            <w:r/>
            <w:r>
              <w:rPr>
                <w:b w:val="0"/>
                <w:sz w:val="17"/>
              </w:rPr>
              <w:t>4,274 (11.3%)</w:t>
            </w:r>
          </w:p>
        </w:tc>
      </w:tr>
      <w:tr>
        <w:trPr>
          <w:cantSplit w:val="true"/>
        </w:trPr>
        <w:tc>
          <w:tcPr>
            <w:tcW w:type="dxa" w:w="4320"/>
            <w:shd w:val="clear" w:color="auto" w:fill="F2F2F2"/>
          </w:tcPr>
          <w:p>
            <w:pPr>
              <w:spacing w:after="0" w:line="240" w:lineRule="auto"/>
            </w:pPr>
            <w:r/>
            <w:r>
              <w:rPr>
                <w:b/>
                <w:sz w:val="17"/>
              </w:rPr>
              <w:t>Race / ethnicity</w:t>
            </w:r>
          </w:p>
        </w:tc>
        <w:tc>
          <w:tcPr>
            <w:tcW w:type="dxa" w:w="2304"/>
            <w:shd w:val="clear" w:color="auto" w:fill="F2F2F2"/>
          </w:tcPr>
          <w:p>
            <w:pPr>
              <w:spacing w:after="0" w:line="240" w:lineRule="auto"/>
            </w:pPr>
            <w:r/>
            <w:r>
              <w:rPr>
                <w:b/>
                <w:sz w:val="17"/>
              </w:rPr>
            </w:r>
          </w:p>
        </w:tc>
        <w:tc>
          <w:tcPr>
            <w:tcW w:type="dxa" w:w="2736"/>
            <w:shd w:val="clear" w:color="auto" w:fill="F2F2F2"/>
          </w:tcPr>
          <w:p>
            <w:pPr>
              <w:spacing w:after="0" w:line="240" w:lineRule="auto"/>
            </w:pPr>
            <w:r/>
            <w:r>
              <w:rPr>
                <w:b/>
                <w:sz w:val="17"/>
              </w:rPr>
            </w:r>
          </w:p>
        </w:tc>
      </w:tr>
      <w:tr>
        <w:trPr>
          <w:cantSplit w:val="true"/>
        </w:trPr>
        <w:tc>
          <w:tcPr>
            <w:tcW w:type="dxa" w:w="4320"/>
          </w:tcPr>
          <w:p>
            <w:pPr>
              <w:spacing w:after="0" w:line="240" w:lineRule="auto"/>
            </w:pPr>
            <w:r/>
            <w:r>
              <w:rPr>
                <w:b w:val="0"/>
                <w:sz w:val="17"/>
              </w:rPr>
              <w:t xml:space="preserve">   White</w:t>
            </w:r>
          </w:p>
        </w:tc>
        <w:tc>
          <w:tcPr>
            <w:tcW w:type="dxa" w:w="2304"/>
          </w:tcPr>
          <w:p>
            <w:pPr>
              <w:spacing w:after="0" w:line="240" w:lineRule="auto"/>
              <w:jc w:val="center"/>
            </w:pPr>
            <w:r/>
            <w:r>
              <w:rPr>
                <w:b w:val="0"/>
                <w:sz w:val="17"/>
              </w:rPr>
              <w:t>56,537 (66.3%)</w:t>
            </w:r>
          </w:p>
        </w:tc>
        <w:tc>
          <w:tcPr>
            <w:tcW w:type="dxa" w:w="2736"/>
          </w:tcPr>
          <w:p>
            <w:pPr>
              <w:spacing w:after="0" w:line="240" w:lineRule="auto"/>
              <w:jc w:val="center"/>
            </w:pPr>
            <w:r/>
            <w:r>
              <w:rPr>
                <w:b w:val="0"/>
                <w:sz w:val="17"/>
              </w:rPr>
              <w:t>5,747 (10.2%)</w:t>
            </w:r>
          </w:p>
        </w:tc>
      </w:tr>
      <w:tr>
        <w:trPr>
          <w:cantSplit w:val="true"/>
        </w:trPr>
        <w:tc>
          <w:tcPr>
            <w:tcW w:type="dxa" w:w="4320"/>
          </w:tcPr>
          <w:p>
            <w:pPr>
              <w:spacing w:after="0" w:line="240" w:lineRule="auto"/>
            </w:pPr>
            <w:r/>
            <w:r>
              <w:rPr>
                <w:b w:val="0"/>
                <w:sz w:val="17"/>
              </w:rPr>
              <w:t xml:space="preserve">   Black</w:t>
            </w:r>
          </w:p>
        </w:tc>
        <w:tc>
          <w:tcPr>
            <w:tcW w:type="dxa" w:w="2304"/>
          </w:tcPr>
          <w:p>
            <w:pPr>
              <w:spacing w:after="0" w:line="240" w:lineRule="auto"/>
              <w:jc w:val="center"/>
            </w:pPr>
            <w:r/>
            <w:r>
              <w:rPr>
                <w:b w:val="0"/>
                <w:sz w:val="17"/>
              </w:rPr>
              <w:t>9,364 (11.0%)</w:t>
            </w:r>
          </w:p>
        </w:tc>
        <w:tc>
          <w:tcPr>
            <w:tcW w:type="dxa" w:w="2736"/>
          </w:tcPr>
          <w:p>
            <w:pPr>
              <w:spacing w:after="0" w:line="240" w:lineRule="auto"/>
              <w:jc w:val="center"/>
            </w:pPr>
            <w:r/>
            <w:r>
              <w:rPr>
                <w:b w:val="0"/>
                <w:sz w:val="17"/>
              </w:rPr>
              <w:t>895 (9.6%)</w:t>
            </w:r>
          </w:p>
        </w:tc>
      </w:tr>
      <w:tr>
        <w:trPr>
          <w:cantSplit w:val="true"/>
        </w:trPr>
        <w:tc>
          <w:tcPr>
            <w:tcW w:type="dxa" w:w="4320"/>
          </w:tcPr>
          <w:p>
            <w:pPr>
              <w:spacing w:after="0" w:line="240" w:lineRule="auto"/>
            </w:pPr>
            <w:r/>
            <w:r>
              <w:rPr>
                <w:b w:val="0"/>
                <w:sz w:val="17"/>
              </w:rPr>
              <w:t xml:space="preserve">   Hispanic/Latino</w:t>
            </w:r>
          </w:p>
        </w:tc>
        <w:tc>
          <w:tcPr>
            <w:tcW w:type="dxa" w:w="2304"/>
          </w:tcPr>
          <w:p>
            <w:pPr>
              <w:spacing w:after="0" w:line="240" w:lineRule="auto"/>
              <w:jc w:val="center"/>
            </w:pPr>
            <w:r/>
            <w:r>
              <w:rPr>
                <w:b w:val="0"/>
                <w:sz w:val="17"/>
              </w:rPr>
              <w:t>3,291 (3.9%)</w:t>
            </w:r>
          </w:p>
        </w:tc>
        <w:tc>
          <w:tcPr>
            <w:tcW w:type="dxa" w:w="2736"/>
          </w:tcPr>
          <w:p>
            <w:pPr>
              <w:spacing w:after="0" w:line="240" w:lineRule="auto"/>
              <w:jc w:val="center"/>
            </w:pPr>
            <w:r/>
            <w:r>
              <w:rPr>
                <w:b w:val="0"/>
                <w:sz w:val="17"/>
              </w:rPr>
              <w:t>270 (8.2%)</w:t>
            </w:r>
          </w:p>
        </w:tc>
      </w:tr>
      <w:tr>
        <w:trPr>
          <w:cantSplit w:val="true"/>
        </w:trPr>
        <w:tc>
          <w:tcPr>
            <w:tcW w:type="dxa" w:w="4320"/>
          </w:tcPr>
          <w:p>
            <w:pPr>
              <w:spacing w:after="0" w:line="240" w:lineRule="auto"/>
            </w:pPr>
            <w:r/>
            <w:r>
              <w:rPr>
                <w:b w:val="0"/>
                <w:sz w:val="17"/>
              </w:rPr>
              <w:t xml:space="preserve">   Asian</w:t>
            </w:r>
          </w:p>
        </w:tc>
        <w:tc>
          <w:tcPr>
            <w:tcW w:type="dxa" w:w="2304"/>
          </w:tcPr>
          <w:p>
            <w:pPr>
              <w:spacing w:after="0" w:line="240" w:lineRule="auto"/>
              <w:jc w:val="center"/>
            </w:pPr>
            <w:r/>
            <w:r>
              <w:rPr>
                <w:b w:val="0"/>
                <w:sz w:val="17"/>
              </w:rPr>
              <w:t>2,617 (3.1%)</w:t>
            </w:r>
          </w:p>
        </w:tc>
        <w:tc>
          <w:tcPr>
            <w:tcW w:type="dxa" w:w="2736"/>
          </w:tcPr>
          <w:p>
            <w:pPr>
              <w:spacing w:after="0" w:line="240" w:lineRule="auto"/>
              <w:jc w:val="center"/>
            </w:pPr>
            <w:r/>
            <w:r>
              <w:rPr>
                <w:b w:val="0"/>
                <w:sz w:val="17"/>
              </w:rPr>
              <w:t>311 (11.9%)</w:t>
            </w:r>
          </w:p>
        </w:tc>
      </w:tr>
      <w:tr>
        <w:trPr>
          <w:cantSplit w:val="true"/>
        </w:trPr>
        <w:tc>
          <w:tcPr>
            <w:tcW w:type="dxa" w:w="4320"/>
          </w:tcPr>
          <w:p>
            <w:pPr>
              <w:spacing w:after="0" w:line="240" w:lineRule="auto"/>
            </w:pPr>
            <w:r/>
            <w:r>
              <w:rPr>
                <w:b w:val="0"/>
                <w:sz w:val="17"/>
              </w:rPr>
              <w:t xml:space="preserve">   Other</w:t>
            </w:r>
          </w:p>
        </w:tc>
        <w:tc>
          <w:tcPr>
            <w:tcW w:type="dxa" w:w="2304"/>
          </w:tcPr>
          <w:p>
            <w:pPr>
              <w:spacing w:after="0" w:line="240" w:lineRule="auto"/>
              <w:jc w:val="center"/>
            </w:pPr>
            <w:r/>
            <w:r>
              <w:rPr>
                <w:b w:val="0"/>
                <w:sz w:val="17"/>
              </w:rPr>
              <w:t>3,651 (4.3%)</w:t>
            </w:r>
          </w:p>
        </w:tc>
        <w:tc>
          <w:tcPr>
            <w:tcW w:type="dxa" w:w="2736"/>
          </w:tcPr>
          <w:p>
            <w:pPr>
              <w:spacing w:after="0" w:line="240" w:lineRule="auto"/>
              <w:jc w:val="center"/>
            </w:pPr>
            <w:r/>
            <w:r>
              <w:rPr>
                <w:b w:val="0"/>
                <w:sz w:val="17"/>
              </w:rPr>
              <w:t>367 (10.1%)</w:t>
            </w:r>
          </w:p>
        </w:tc>
      </w:tr>
      <w:tr>
        <w:trPr>
          <w:cantSplit w:val="true"/>
        </w:trPr>
        <w:tc>
          <w:tcPr>
            <w:tcW w:type="dxa" w:w="4320"/>
          </w:tcPr>
          <w:p>
            <w:pPr>
              <w:spacing w:after="0" w:line="240" w:lineRule="auto"/>
            </w:pPr>
            <w:r/>
            <w:r>
              <w:rPr>
                <w:b w:val="0"/>
                <w:sz w:val="17"/>
              </w:rPr>
              <w:t xml:space="preserve">   Unknown/Declined</w:t>
            </w:r>
          </w:p>
        </w:tc>
        <w:tc>
          <w:tcPr>
            <w:tcW w:type="dxa" w:w="2304"/>
          </w:tcPr>
          <w:p>
            <w:pPr>
              <w:spacing w:after="0" w:line="240" w:lineRule="auto"/>
              <w:jc w:val="center"/>
            </w:pPr>
            <w:r/>
            <w:r>
              <w:rPr>
                <w:b w:val="0"/>
                <w:sz w:val="17"/>
              </w:rPr>
              <w:t>9,768 (11.5%)</w:t>
            </w:r>
          </w:p>
        </w:tc>
        <w:tc>
          <w:tcPr>
            <w:tcW w:type="dxa" w:w="2736"/>
          </w:tcPr>
          <w:p>
            <w:pPr>
              <w:spacing w:after="0" w:line="240" w:lineRule="auto"/>
              <w:jc w:val="center"/>
            </w:pPr>
            <w:r/>
            <w:r>
              <w:rPr>
                <w:b w:val="0"/>
                <w:sz w:val="17"/>
              </w:rPr>
              <w:t>1,878 (19.2%)</w:t>
            </w:r>
          </w:p>
        </w:tc>
      </w:tr>
      <w:tr>
        <w:trPr>
          <w:cantSplit w:val="true"/>
        </w:trPr>
        <w:tc>
          <w:tcPr>
            <w:tcW w:type="dxa" w:w="4320"/>
            <w:shd w:val="clear" w:color="auto" w:fill="F2F2F2"/>
          </w:tcPr>
          <w:p>
            <w:pPr>
              <w:spacing w:after="0" w:line="240" w:lineRule="auto"/>
            </w:pPr>
            <w:r/>
            <w:r>
              <w:rPr>
                <w:b/>
                <w:sz w:val="17"/>
              </w:rPr>
              <w:t>Insurance</w:t>
            </w:r>
          </w:p>
        </w:tc>
        <w:tc>
          <w:tcPr>
            <w:tcW w:type="dxa" w:w="2304"/>
            <w:shd w:val="clear" w:color="auto" w:fill="F2F2F2"/>
          </w:tcPr>
          <w:p>
            <w:pPr>
              <w:spacing w:after="0" w:line="240" w:lineRule="auto"/>
            </w:pPr>
            <w:r/>
            <w:r>
              <w:rPr>
                <w:b/>
                <w:sz w:val="17"/>
              </w:rPr>
            </w:r>
          </w:p>
        </w:tc>
        <w:tc>
          <w:tcPr>
            <w:tcW w:type="dxa" w:w="2736"/>
            <w:shd w:val="clear" w:color="auto" w:fill="F2F2F2"/>
          </w:tcPr>
          <w:p>
            <w:pPr>
              <w:spacing w:after="0" w:line="240" w:lineRule="auto"/>
            </w:pPr>
            <w:r/>
            <w:r>
              <w:rPr>
                <w:b/>
                <w:sz w:val="17"/>
              </w:rPr>
            </w:r>
          </w:p>
        </w:tc>
      </w:tr>
      <w:tr>
        <w:trPr>
          <w:cantSplit w:val="true"/>
        </w:trPr>
        <w:tc>
          <w:tcPr>
            <w:tcW w:type="dxa" w:w="4320"/>
          </w:tcPr>
          <w:p>
            <w:pPr>
              <w:spacing w:after="0" w:line="240" w:lineRule="auto"/>
            </w:pPr>
            <w:r/>
            <w:r>
              <w:rPr>
                <w:b w:val="0"/>
                <w:sz w:val="17"/>
              </w:rPr>
              <w:t xml:space="preserve">   Medicare</w:t>
            </w:r>
          </w:p>
        </w:tc>
        <w:tc>
          <w:tcPr>
            <w:tcW w:type="dxa" w:w="2304"/>
          </w:tcPr>
          <w:p>
            <w:pPr>
              <w:spacing w:after="0" w:line="240" w:lineRule="auto"/>
              <w:jc w:val="center"/>
            </w:pPr>
            <w:r/>
            <w:r>
              <w:rPr>
                <w:b w:val="0"/>
                <w:sz w:val="17"/>
              </w:rPr>
              <w:t>46,609 (54.7%)</w:t>
            </w:r>
          </w:p>
        </w:tc>
        <w:tc>
          <w:tcPr>
            <w:tcW w:type="dxa" w:w="2736"/>
          </w:tcPr>
          <w:p>
            <w:pPr>
              <w:spacing w:after="0" w:line="240" w:lineRule="auto"/>
              <w:jc w:val="center"/>
            </w:pPr>
            <w:r/>
            <w:r>
              <w:rPr>
                <w:b w:val="0"/>
                <w:sz w:val="17"/>
              </w:rPr>
              <w:t>6,160 (13.2%)</w:t>
            </w:r>
          </w:p>
        </w:tc>
      </w:tr>
      <w:tr>
        <w:trPr>
          <w:cantSplit w:val="true"/>
        </w:trPr>
        <w:tc>
          <w:tcPr>
            <w:tcW w:type="dxa" w:w="4320"/>
          </w:tcPr>
          <w:p>
            <w:pPr>
              <w:spacing w:after="0" w:line="240" w:lineRule="auto"/>
            </w:pPr>
            <w:r/>
            <w:r>
              <w:rPr>
                <w:b w:val="0"/>
                <w:sz w:val="17"/>
              </w:rPr>
              <w:t xml:space="preserve">   Medicaid</w:t>
            </w:r>
          </w:p>
        </w:tc>
        <w:tc>
          <w:tcPr>
            <w:tcW w:type="dxa" w:w="2304"/>
          </w:tcPr>
          <w:p>
            <w:pPr>
              <w:spacing w:after="0" w:line="240" w:lineRule="auto"/>
              <w:jc w:val="center"/>
            </w:pPr>
            <w:r/>
            <w:r>
              <w:rPr>
                <w:b w:val="0"/>
                <w:sz w:val="17"/>
              </w:rPr>
              <w:t>12,809 (15.0%)</w:t>
            </w:r>
          </w:p>
        </w:tc>
        <w:tc>
          <w:tcPr>
            <w:tcW w:type="dxa" w:w="2736"/>
          </w:tcPr>
          <w:p>
            <w:pPr>
              <w:spacing w:after="0" w:line="240" w:lineRule="auto"/>
              <w:jc w:val="center"/>
            </w:pPr>
            <w:r/>
            <w:r>
              <w:rPr>
                <w:b w:val="0"/>
                <w:sz w:val="17"/>
              </w:rPr>
              <w:t>1,125 (8.8%)</w:t>
            </w:r>
          </w:p>
        </w:tc>
      </w:tr>
      <w:tr>
        <w:trPr>
          <w:cantSplit w:val="true"/>
        </w:trPr>
        <w:tc>
          <w:tcPr>
            <w:tcW w:type="dxa" w:w="4320"/>
          </w:tcPr>
          <w:p>
            <w:pPr>
              <w:spacing w:after="0" w:line="240" w:lineRule="auto"/>
            </w:pPr>
            <w:r/>
            <w:r>
              <w:rPr>
                <w:b w:val="0"/>
                <w:sz w:val="17"/>
              </w:rPr>
              <w:t xml:space="preserve">   Private</w:t>
            </w:r>
          </w:p>
        </w:tc>
        <w:tc>
          <w:tcPr>
            <w:tcW w:type="dxa" w:w="2304"/>
          </w:tcPr>
          <w:p>
            <w:pPr>
              <w:spacing w:after="0" w:line="240" w:lineRule="auto"/>
              <w:jc w:val="center"/>
            </w:pPr>
            <w:r/>
            <w:r>
              <w:rPr>
                <w:b w:val="0"/>
                <w:sz w:val="17"/>
              </w:rPr>
              <w:t>22,275 (26.1%)</w:t>
            </w:r>
          </w:p>
        </w:tc>
        <w:tc>
          <w:tcPr>
            <w:tcW w:type="dxa" w:w="2736"/>
          </w:tcPr>
          <w:p>
            <w:pPr>
              <w:spacing w:after="0" w:line="240" w:lineRule="auto"/>
              <w:jc w:val="center"/>
            </w:pPr>
            <w:r/>
            <w:r>
              <w:rPr>
                <w:b w:val="0"/>
                <w:sz w:val="17"/>
              </w:rPr>
              <w:t>1,645 (7.4%)</w:t>
            </w:r>
          </w:p>
        </w:tc>
      </w:tr>
      <w:tr>
        <w:trPr>
          <w:cantSplit w:val="true"/>
        </w:trPr>
        <w:tc>
          <w:tcPr>
            <w:tcW w:type="dxa" w:w="4320"/>
          </w:tcPr>
          <w:p>
            <w:pPr>
              <w:spacing w:after="0" w:line="240" w:lineRule="auto"/>
            </w:pPr>
            <w:r/>
            <w:r>
              <w:rPr>
                <w:b w:val="0"/>
                <w:sz w:val="17"/>
              </w:rPr>
              <w:t xml:space="preserve">   Other/Missing</w:t>
            </w:r>
          </w:p>
        </w:tc>
        <w:tc>
          <w:tcPr>
            <w:tcW w:type="dxa" w:w="2304"/>
          </w:tcPr>
          <w:p>
            <w:pPr>
              <w:spacing w:after="0" w:line="240" w:lineRule="auto"/>
              <w:jc w:val="center"/>
            </w:pPr>
            <w:r/>
            <w:r>
              <w:rPr>
                <w:b w:val="0"/>
                <w:sz w:val="17"/>
              </w:rPr>
              <w:t>3,535 (4.1%)</w:t>
            </w:r>
          </w:p>
        </w:tc>
        <w:tc>
          <w:tcPr>
            <w:tcW w:type="dxa" w:w="2736"/>
          </w:tcPr>
          <w:p>
            <w:pPr>
              <w:spacing w:after="0" w:line="240" w:lineRule="auto"/>
              <w:jc w:val="center"/>
            </w:pPr>
            <w:r/>
            <w:r>
              <w:rPr>
                <w:b w:val="0"/>
                <w:sz w:val="17"/>
              </w:rPr>
              <w:t>538 (15.2%)</w:t>
            </w:r>
          </w:p>
        </w:tc>
      </w:tr>
      <w:tr>
        <w:trPr>
          <w:cantSplit w:val="true"/>
        </w:trPr>
        <w:tc>
          <w:tcPr>
            <w:tcW w:type="dxa" w:w="4320"/>
            <w:shd w:val="clear" w:color="auto" w:fill="F2F2F2"/>
          </w:tcPr>
          <w:p>
            <w:pPr>
              <w:spacing w:after="0" w:line="240" w:lineRule="auto"/>
            </w:pPr>
            <w:r/>
            <w:r>
              <w:rPr>
                <w:b/>
                <w:sz w:val="17"/>
              </w:rPr>
              <w:t>First ICU care unit (largest six)</w:t>
            </w:r>
          </w:p>
        </w:tc>
        <w:tc>
          <w:tcPr>
            <w:tcW w:type="dxa" w:w="2304"/>
            <w:shd w:val="clear" w:color="auto" w:fill="F2F2F2"/>
          </w:tcPr>
          <w:p>
            <w:pPr>
              <w:spacing w:after="0" w:line="240" w:lineRule="auto"/>
            </w:pPr>
            <w:r/>
            <w:r>
              <w:rPr>
                <w:b/>
                <w:sz w:val="17"/>
              </w:rPr>
            </w:r>
          </w:p>
        </w:tc>
        <w:tc>
          <w:tcPr>
            <w:tcW w:type="dxa" w:w="2736"/>
            <w:shd w:val="clear" w:color="auto" w:fill="F2F2F2"/>
          </w:tcPr>
          <w:p>
            <w:pPr>
              <w:spacing w:after="0" w:line="240" w:lineRule="auto"/>
            </w:pPr>
            <w:r/>
            <w:r>
              <w:rPr>
                <w:b/>
                <w:sz w:val="17"/>
              </w:rPr>
            </w:r>
          </w:p>
        </w:tc>
      </w:tr>
      <w:tr>
        <w:trPr>
          <w:cantSplit w:val="true"/>
        </w:trPr>
        <w:tc>
          <w:tcPr>
            <w:tcW w:type="dxa" w:w="4320"/>
          </w:tcPr>
          <w:p>
            <w:pPr>
              <w:spacing w:after="0" w:line="240" w:lineRule="auto"/>
            </w:pPr>
            <w:r/>
            <w:r>
              <w:rPr>
                <w:b w:val="0"/>
                <w:sz w:val="17"/>
              </w:rPr>
              <w:t xml:space="preserve">   Medical ICU</w:t>
            </w:r>
          </w:p>
        </w:tc>
        <w:tc>
          <w:tcPr>
            <w:tcW w:type="dxa" w:w="2304"/>
          </w:tcPr>
          <w:p>
            <w:pPr>
              <w:spacing w:after="0" w:line="240" w:lineRule="auto"/>
              <w:jc w:val="center"/>
            </w:pPr>
            <w:r/>
            <w:r>
              <w:rPr>
                <w:b w:val="0"/>
                <w:sz w:val="17"/>
              </w:rPr>
              <w:t>18,657 (21.9%)</w:t>
            </w:r>
          </w:p>
        </w:tc>
        <w:tc>
          <w:tcPr>
            <w:tcW w:type="dxa" w:w="2736"/>
          </w:tcPr>
          <w:p>
            <w:pPr>
              <w:spacing w:after="0" w:line="240" w:lineRule="auto"/>
              <w:jc w:val="center"/>
            </w:pPr>
            <w:r/>
            <w:r>
              <w:rPr>
                <w:b w:val="0"/>
                <w:sz w:val="17"/>
              </w:rPr>
              <w:t>2,838 (15.2%)</w:t>
            </w:r>
          </w:p>
        </w:tc>
      </w:tr>
      <w:tr>
        <w:trPr>
          <w:cantSplit w:val="true"/>
        </w:trPr>
        <w:tc>
          <w:tcPr>
            <w:tcW w:type="dxa" w:w="4320"/>
          </w:tcPr>
          <w:p>
            <w:pPr>
              <w:spacing w:after="0" w:line="240" w:lineRule="auto"/>
            </w:pPr>
            <w:r/>
            <w:r>
              <w:rPr>
                <w:b w:val="0"/>
                <w:sz w:val="17"/>
              </w:rPr>
              <w:t xml:space="preserve">   Medical/Surgical ICU</w:t>
            </w:r>
          </w:p>
        </w:tc>
        <w:tc>
          <w:tcPr>
            <w:tcW w:type="dxa" w:w="2304"/>
          </w:tcPr>
          <w:p>
            <w:pPr>
              <w:spacing w:after="0" w:line="240" w:lineRule="auto"/>
              <w:jc w:val="center"/>
            </w:pPr>
            <w:r/>
            <w:r>
              <w:rPr>
                <w:b w:val="0"/>
                <w:sz w:val="17"/>
              </w:rPr>
              <w:t>14,087 (16.5%)</w:t>
            </w:r>
          </w:p>
        </w:tc>
        <w:tc>
          <w:tcPr>
            <w:tcW w:type="dxa" w:w="2736"/>
          </w:tcPr>
          <w:p>
            <w:pPr>
              <w:spacing w:after="0" w:line="240" w:lineRule="auto"/>
              <w:jc w:val="center"/>
            </w:pPr>
            <w:r/>
            <w:r>
              <w:rPr>
                <w:b w:val="0"/>
                <w:sz w:val="17"/>
              </w:rPr>
              <w:t>1,963 (13.9%)</w:t>
            </w:r>
          </w:p>
        </w:tc>
      </w:tr>
      <w:tr>
        <w:trPr>
          <w:cantSplit w:val="true"/>
        </w:trPr>
        <w:tc>
          <w:tcPr>
            <w:tcW w:type="dxa" w:w="4320"/>
          </w:tcPr>
          <w:p>
            <w:pPr>
              <w:spacing w:after="0" w:line="240" w:lineRule="auto"/>
            </w:pPr>
            <w:r/>
            <w:r>
              <w:rPr>
                <w:b w:val="0"/>
                <w:sz w:val="17"/>
              </w:rPr>
              <w:t xml:space="preserve">   Cardiac Vascular ICU</w:t>
            </w:r>
          </w:p>
        </w:tc>
        <w:tc>
          <w:tcPr>
            <w:tcW w:type="dxa" w:w="2304"/>
          </w:tcPr>
          <w:p>
            <w:pPr>
              <w:spacing w:after="0" w:line="240" w:lineRule="auto"/>
              <w:jc w:val="center"/>
            </w:pPr>
            <w:r/>
            <w:r>
              <w:rPr>
                <w:b w:val="0"/>
                <w:sz w:val="17"/>
              </w:rPr>
              <w:t>13,199 (15.5%)</w:t>
            </w:r>
          </w:p>
        </w:tc>
        <w:tc>
          <w:tcPr>
            <w:tcW w:type="dxa" w:w="2736"/>
          </w:tcPr>
          <w:p>
            <w:pPr>
              <w:spacing w:after="0" w:line="240" w:lineRule="auto"/>
              <w:jc w:val="center"/>
            </w:pPr>
            <w:r/>
            <w:r>
              <w:rPr>
                <w:b w:val="0"/>
                <w:sz w:val="17"/>
              </w:rPr>
              <w:t>499 (3.8%)</w:t>
            </w:r>
          </w:p>
        </w:tc>
      </w:tr>
      <w:tr>
        <w:trPr>
          <w:cantSplit w:val="true"/>
        </w:trPr>
        <w:tc>
          <w:tcPr>
            <w:tcW w:type="dxa" w:w="4320"/>
          </w:tcPr>
          <w:p>
            <w:pPr>
              <w:spacing w:after="0" w:line="240" w:lineRule="auto"/>
            </w:pPr>
            <w:r/>
            <w:r>
              <w:rPr>
                <w:b w:val="0"/>
                <w:sz w:val="17"/>
              </w:rPr>
              <w:t xml:space="preserve">   Surgical ICU</w:t>
            </w:r>
          </w:p>
        </w:tc>
        <w:tc>
          <w:tcPr>
            <w:tcW w:type="dxa" w:w="2304"/>
          </w:tcPr>
          <w:p>
            <w:pPr>
              <w:spacing w:after="0" w:line="240" w:lineRule="auto"/>
              <w:jc w:val="center"/>
            </w:pPr>
            <w:r/>
            <w:r>
              <w:rPr>
                <w:b w:val="0"/>
                <w:sz w:val="17"/>
              </w:rPr>
              <w:t>11,561 (13.6%)</w:t>
            </w:r>
          </w:p>
        </w:tc>
        <w:tc>
          <w:tcPr>
            <w:tcW w:type="dxa" w:w="2736"/>
          </w:tcPr>
          <w:p>
            <w:pPr>
              <w:spacing w:after="0" w:line="240" w:lineRule="auto"/>
              <w:jc w:val="center"/>
            </w:pPr>
            <w:r/>
            <w:r>
              <w:rPr>
                <w:b w:val="0"/>
                <w:sz w:val="17"/>
              </w:rPr>
              <w:t>1,301 (11.3%)</w:t>
            </w:r>
          </w:p>
        </w:tc>
      </w:tr>
      <w:tr>
        <w:trPr>
          <w:cantSplit w:val="true"/>
        </w:trPr>
        <w:tc>
          <w:tcPr>
            <w:tcW w:type="dxa" w:w="4320"/>
          </w:tcPr>
          <w:p>
            <w:pPr>
              <w:spacing w:after="0" w:line="240" w:lineRule="auto"/>
            </w:pPr>
            <w:r/>
            <w:r>
              <w:rPr>
                <w:b w:val="0"/>
                <w:sz w:val="17"/>
              </w:rPr>
              <w:t xml:space="preserve">   Coronary Care Unit</w:t>
            </w:r>
          </w:p>
        </w:tc>
        <w:tc>
          <w:tcPr>
            <w:tcW w:type="dxa" w:w="2304"/>
          </w:tcPr>
          <w:p>
            <w:pPr>
              <w:spacing w:after="0" w:line="240" w:lineRule="auto"/>
              <w:jc w:val="center"/>
            </w:pPr>
            <w:r/>
            <w:r>
              <w:rPr>
                <w:b w:val="0"/>
                <w:sz w:val="17"/>
              </w:rPr>
              <w:t>9,804 (11.5%)</w:t>
            </w:r>
          </w:p>
        </w:tc>
        <w:tc>
          <w:tcPr>
            <w:tcW w:type="dxa" w:w="2736"/>
          </w:tcPr>
          <w:p>
            <w:pPr>
              <w:spacing w:after="0" w:line="240" w:lineRule="auto"/>
              <w:jc w:val="center"/>
            </w:pPr>
            <w:r/>
            <w:r>
              <w:rPr>
                <w:b w:val="0"/>
                <w:sz w:val="17"/>
              </w:rPr>
              <w:t>1,271 (13.0%)</w:t>
            </w:r>
          </w:p>
        </w:tc>
      </w:tr>
      <w:tr>
        <w:trPr>
          <w:cantSplit w:val="true"/>
        </w:trPr>
        <w:tc>
          <w:tcPr>
            <w:tcW w:type="dxa" w:w="4320"/>
          </w:tcPr>
          <w:p>
            <w:pPr>
              <w:spacing w:after="0" w:line="240" w:lineRule="auto"/>
            </w:pPr>
            <w:r/>
            <w:r>
              <w:rPr>
                <w:b w:val="0"/>
                <w:sz w:val="17"/>
              </w:rPr>
              <w:t xml:space="preserve">   Trauma SICU</w:t>
            </w:r>
          </w:p>
        </w:tc>
        <w:tc>
          <w:tcPr>
            <w:tcW w:type="dxa" w:w="2304"/>
          </w:tcPr>
          <w:p>
            <w:pPr>
              <w:spacing w:after="0" w:line="240" w:lineRule="auto"/>
              <w:jc w:val="center"/>
            </w:pPr>
            <w:r/>
            <w:r>
              <w:rPr>
                <w:b w:val="0"/>
                <w:sz w:val="17"/>
              </w:rPr>
              <w:t>9,306 (10.9%)</w:t>
            </w:r>
          </w:p>
        </w:tc>
        <w:tc>
          <w:tcPr>
            <w:tcW w:type="dxa" w:w="2736"/>
          </w:tcPr>
          <w:p>
            <w:pPr>
              <w:spacing w:after="0" w:line="240" w:lineRule="auto"/>
              <w:jc w:val="center"/>
            </w:pPr>
            <w:r/>
            <w:r>
              <w:rPr>
                <w:b w:val="0"/>
                <w:sz w:val="17"/>
              </w:rPr>
              <w:t>975 (10.5%)</w:t>
            </w:r>
          </w:p>
        </w:tc>
      </w:tr>
    </w:tbl>
    <w:p>
      <w:pPr>
        <w:spacing w:after="40"/>
      </w:pPr>
    </w:p>
    <w:p>
      <w:pPr>
        <w:keepNext/>
        <w:spacing w:after="60"/>
      </w:pPr>
      <w:r>
        <w:rPr>
          <w:b/>
          <w:sz w:val="19"/>
        </w:rPr>
        <w:t xml:space="preserve">Table 2. </w:t>
      </w:r>
      <w:r>
        <w:rPr>
          <w:sz w:val="19"/>
        </w:rPr>
        <w:t>Overall discrimination. AUROC (95% CI); paired differences (SOFA-2 minus SOFA-1) from the patient-level bootstrap; DeLong p-value in the last column.</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cantSplit w:val="true"/>
        </w:trPr>
        <w:tc>
          <w:tcPr>
            <w:tcW w:type="dxa" w:w="1512"/>
            <w:shd w:val="clear" w:color="auto" w:fill="D9E2F3"/>
          </w:tcPr>
          <w:p>
            <w:pPr>
              <w:spacing w:after="0" w:line="240" w:lineRule="auto"/>
            </w:pPr>
            <w:r/>
            <w:r>
              <w:rPr>
                <w:b/>
                <w:sz w:val="15"/>
              </w:rPr>
              <w:t>Outcome</w:t>
            </w:r>
          </w:p>
        </w:tc>
        <w:tc>
          <w:tcPr>
            <w:tcW w:type="dxa" w:w="1368"/>
            <w:shd w:val="clear" w:color="auto" w:fill="D9E2F3"/>
          </w:tcPr>
          <w:p>
            <w:pPr>
              <w:spacing w:after="0" w:line="240" w:lineRule="auto"/>
              <w:jc w:val="center"/>
            </w:pPr>
            <w:r/>
            <w:r>
              <w:rPr>
                <w:b/>
                <w:sz w:val="15"/>
              </w:rPr>
              <w:t>SOFA-1 community</w:t>
            </w:r>
          </w:p>
        </w:tc>
        <w:tc>
          <w:tcPr>
            <w:tcW w:type="dxa" w:w="1368"/>
            <w:shd w:val="clear" w:color="auto" w:fill="D9E2F3"/>
          </w:tcPr>
          <w:p>
            <w:pPr>
              <w:spacing w:after="0" w:line="240" w:lineRule="auto"/>
              <w:jc w:val="center"/>
            </w:pPr>
            <w:r/>
            <w:r>
              <w:rPr>
                <w:b/>
                <w:sz w:val="15"/>
              </w:rPr>
              <w:t>SOFA-1 as charted</w:t>
            </w:r>
          </w:p>
        </w:tc>
        <w:tc>
          <w:tcPr>
            <w:tcW w:type="dxa" w:w="1368"/>
            <w:shd w:val="clear" w:color="auto" w:fill="D9E2F3"/>
          </w:tcPr>
          <w:p>
            <w:pPr>
              <w:spacing w:after="0" w:line="240" w:lineRule="auto"/>
              <w:jc w:val="center"/>
            </w:pPr>
            <w:r/>
            <w:r>
              <w:rPr>
                <w:b/>
                <w:sz w:val="15"/>
              </w:rPr>
              <w:t>SOFA-2</w:t>
            </w:r>
          </w:p>
        </w:tc>
        <w:tc>
          <w:tcPr>
            <w:tcW w:type="dxa" w:w="1368"/>
            <w:shd w:val="clear" w:color="auto" w:fill="D9E2F3"/>
          </w:tcPr>
          <w:p>
            <w:pPr>
              <w:spacing w:after="0" w:line="240" w:lineRule="auto"/>
              <w:jc w:val="center"/>
            </w:pPr>
            <w:r/>
            <w:r>
              <w:rPr>
                <w:b/>
                <w:sz w:val="15"/>
              </w:rPr>
              <w:t>Δ vs community</w:t>
            </w:r>
          </w:p>
        </w:tc>
        <w:tc>
          <w:tcPr>
            <w:tcW w:type="dxa" w:w="1368"/>
            <w:shd w:val="clear" w:color="auto" w:fill="D9E2F3"/>
          </w:tcPr>
          <w:p>
            <w:pPr>
              <w:spacing w:after="0" w:line="240" w:lineRule="auto"/>
              <w:jc w:val="center"/>
            </w:pPr>
            <w:r/>
            <w:r>
              <w:rPr>
                <w:b/>
                <w:sz w:val="15"/>
              </w:rPr>
              <w:t>Δ vs as charted (headline)</w:t>
            </w:r>
          </w:p>
        </w:tc>
        <w:tc>
          <w:tcPr>
            <w:tcW w:type="dxa" w:w="720"/>
            <w:shd w:val="clear" w:color="auto" w:fill="D9E2F3"/>
          </w:tcPr>
          <w:p>
            <w:pPr>
              <w:spacing w:after="0" w:line="240" w:lineRule="auto"/>
              <w:jc w:val="center"/>
            </w:pPr>
            <w:r/>
            <w:r>
              <w:rPr>
                <w:b/>
                <w:sz w:val="15"/>
              </w:rPr>
              <w:t>DeLong p (headline)</w:t>
            </w:r>
          </w:p>
        </w:tc>
      </w:tr>
      <w:tr>
        <w:trPr>
          <w:cantSplit w:val="true"/>
        </w:trPr>
        <w:tc>
          <w:tcPr>
            <w:tcW w:type="dxa" w:w="1512"/>
          </w:tcPr>
          <w:p>
            <w:pPr>
              <w:spacing w:after="0" w:line="240" w:lineRule="auto"/>
            </w:pPr>
            <w:r/>
            <w:r>
              <w:rPr>
                <w:b w:val="0"/>
                <w:sz w:val="15"/>
              </w:rPr>
              <w:t>In-hospital mortality (primary)</w:t>
            </w:r>
          </w:p>
        </w:tc>
        <w:tc>
          <w:tcPr>
            <w:tcW w:type="dxa" w:w="1368"/>
          </w:tcPr>
          <w:p>
            <w:pPr>
              <w:spacing w:after="0" w:line="240" w:lineRule="auto"/>
              <w:jc w:val="center"/>
            </w:pPr>
            <w:r/>
            <w:r>
              <w:rPr>
                <w:b w:val="0"/>
                <w:sz w:val="15"/>
              </w:rPr>
              <w:t>0.735 (0.730 to 0.741)</w:t>
            </w:r>
          </w:p>
        </w:tc>
        <w:tc>
          <w:tcPr>
            <w:tcW w:type="dxa" w:w="1368"/>
          </w:tcPr>
          <w:p>
            <w:pPr>
              <w:spacing w:after="0" w:line="240" w:lineRule="auto"/>
              <w:jc w:val="center"/>
            </w:pPr>
            <w:r/>
            <w:r>
              <w:rPr>
                <w:b w:val="0"/>
                <w:sz w:val="15"/>
              </w:rPr>
              <w:t>0.743 (0.738 to 0.748)</w:t>
            </w:r>
          </w:p>
        </w:tc>
        <w:tc>
          <w:tcPr>
            <w:tcW w:type="dxa" w:w="1368"/>
          </w:tcPr>
          <w:p>
            <w:pPr>
              <w:spacing w:after="0" w:line="240" w:lineRule="auto"/>
              <w:jc w:val="center"/>
            </w:pPr>
            <w:r/>
            <w:r>
              <w:rPr>
                <w:b w:val="0"/>
                <w:sz w:val="15"/>
              </w:rPr>
              <w:t>0.762 (0.757 to 0.767)</w:t>
            </w:r>
          </w:p>
        </w:tc>
        <w:tc>
          <w:tcPr>
            <w:tcW w:type="dxa" w:w="1368"/>
          </w:tcPr>
          <w:p>
            <w:pPr>
              <w:spacing w:after="0" w:line="240" w:lineRule="auto"/>
              <w:jc w:val="center"/>
            </w:pPr>
            <w:r/>
            <w:r>
              <w:rPr>
                <w:b w:val="0"/>
                <w:sz w:val="15"/>
              </w:rPr>
              <w:t>+0.027 (+0.023 to +0.031)</w:t>
            </w:r>
          </w:p>
        </w:tc>
        <w:tc>
          <w:tcPr>
            <w:tcW w:type="dxa" w:w="1368"/>
          </w:tcPr>
          <w:p>
            <w:pPr>
              <w:spacing w:after="0" w:line="240" w:lineRule="auto"/>
              <w:jc w:val="center"/>
            </w:pPr>
            <w:r/>
            <w:r>
              <w:rPr>
                <w:b w:val="0"/>
                <w:sz w:val="15"/>
              </w:rPr>
              <w:t>+0.019 (+0.016 to +0.023)</w:t>
            </w:r>
          </w:p>
        </w:tc>
        <w:tc>
          <w:tcPr>
            <w:tcW w:type="dxa" w:w="720"/>
          </w:tcPr>
          <w:p>
            <w:pPr>
              <w:spacing w:after="0" w:line="240" w:lineRule="auto"/>
              <w:jc w:val="center"/>
            </w:pPr>
            <w:r/>
            <w:r>
              <w:rPr>
                <w:b w:val="0"/>
                <w:sz w:val="15"/>
              </w:rPr>
              <w:t>&lt;0.001</w:t>
            </w:r>
          </w:p>
        </w:tc>
      </w:tr>
      <w:tr>
        <w:trPr>
          <w:cantSplit w:val="true"/>
        </w:trPr>
        <w:tc>
          <w:tcPr>
            <w:tcW w:type="dxa" w:w="1512"/>
          </w:tcPr>
          <w:p>
            <w:pPr>
              <w:spacing w:after="0" w:line="240" w:lineRule="auto"/>
            </w:pPr>
            <w:r/>
            <w:r>
              <w:rPr>
                <w:b w:val="0"/>
                <w:sz w:val="15"/>
              </w:rPr>
              <w:t>ICU mortality (secondary)</w:t>
            </w:r>
          </w:p>
        </w:tc>
        <w:tc>
          <w:tcPr>
            <w:tcW w:type="dxa" w:w="1368"/>
          </w:tcPr>
          <w:p>
            <w:pPr>
              <w:spacing w:after="0" w:line="240" w:lineRule="auto"/>
              <w:jc w:val="center"/>
            </w:pPr>
            <w:r/>
            <w:r>
              <w:rPr>
                <w:b w:val="0"/>
                <w:sz w:val="15"/>
              </w:rPr>
              <w:t>0.767 (0.761 to 0.774)</w:t>
            </w:r>
          </w:p>
        </w:tc>
        <w:tc>
          <w:tcPr>
            <w:tcW w:type="dxa" w:w="1368"/>
          </w:tcPr>
          <w:p>
            <w:pPr>
              <w:spacing w:after="0" w:line="240" w:lineRule="auto"/>
              <w:jc w:val="center"/>
            </w:pPr>
            <w:r/>
            <w:r>
              <w:rPr>
                <w:b w:val="0"/>
                <w:sz w:val="15"/>
              </w:rPr>
              <w:t>0.791 (0.785 to 0.796)</w:t>
            </w:r>
          </w:p>
        </w:tc>
        <w:tc>
          <w:tcPr>
            <w:tcW w:type="dxa" w:w="1368"/>
          </w:tcPr>
          <w:p>
            <w:pPr>
              <w:spacing w:after="0" w:line="240" w:lineRule="auto"/>
              <w:jc w:val="center"/>
            </w:pPr>
            <w:r/>
            <w:r>
              <w:rPr>
                <w:b w:val="0"/>
                <w:sz w:val="15"/>
              </w:rPr>
              <w:t>0.804 (0.799 to 0.810)</w:t>
            </w:r>
          </w:p>
        </w:tc>
        <w:tc>
          <w:tcPr>
            <w:tcW w:type="dxa" w:w="1368"/>
          </w:tcPr>
          <w:p>
            <w:pPr>
              <w:spacing w:after="0" w:line="240" w:lineRule="auto"/>
              <w:jc w:val="center"/>
            </w:pPr>
            <w:r/>
            <w:r>
              <w:rPr>
                <w:b w:val="0"/>
                <w:sz w:val="15"/>
              </w:rPr>
              <w:t>+0.037 (+0.033 to +0.041)</w:t>
            </w:r>
          </w:p>
        </w:tc>
        <w:tc>
          <w:tcPr>
            <w:tcW w:type="dxa" w:w="1368"/>
          </w:tcPr>
          <w:p>
            <w:pPr>
              <w:spacing w:after="0" w:line="240" w:lineRule="auto"/>
              <w:jc w:val="center"/>
            </w:pPr>
            <w:r/>
            <w:r>
              <w:rPr>
                <w:b w:val="0"/>
                <w:sz w:val="15"/>
              </w:rPr>
              <w:t>+0.014 (+0.010 to +0.018)</w:t>
            </w:r>
          </w:p>
        </w:tc>
        <w:tc>
          <w:tcPr>
            <w:tcW w:type="dxa" w:w="720"/>
          </w:tcPr>
          <w:p>
            <w:pPr>
              <w:spacing w:after="0" w:line="240" w:lineRule="auto"/>
              <w:jc w:val="center"/>
            </w:pPr>
            <w:r/>
            <w:r>
              <w:rPr>
                <w:b w:val="0"/>
                <w:sz w:val="15"/>
              </w:rPr>
              <w:t>&lt;0.001</w:t>
            </w:r>
          </w:p>
        </w:tc>
      </w:tr>
    </w:tbl>
    <w:p>
      <w:pPr>
        <w:spacing w:after="40"/>
      </w:pPr>
    </w:p>
    <w:p>
      <w:pPr>
        <w:keepNext/>
        <w:jc w:val="center"/>
      </w:pPr>
      <w:r>
        <w:drawing>
          <wp:inline xmlns:a="http://schemas.openxmlformats.org/drawingml/2006/main" xmlns:pic="http://schemas.openxmlformats.org/drawingml/2006/picture">
            <wp:extent cx="5760720" cy="2080260"/>
            <wp:docPr id="2" name="Picture 2"/>
            <wp:cNvGraphicFramePr>
              <a:graphicFrameLocks noChangeAspect="1"/>
            </wp:cNvGraphicFramePr>
            <a:graphic>
              <a:graphicData uri="http://schemas.openxmlformats.org/drawingml/2006/picture">
                <pic:pic>
                  <pic:nvPicPr>
                    <pic:cNvPr id="0" name="fig2_distributions.png"/>
                    <pic:cNvPicPr/>
                  </pic:nvPicPr>
                  <pic:blipFill>
                    <a:blip r:embed="rId11"/>
                    <a:stretch>
                      <a:fillRect/>
                    </a:stretch>
                  </pic:blipFill>
                  <pic:spPr>
                    <a:xfrm>
                      <a:off x="0" y="0"/>
                      <a:ext cx="5760720" cy="2080260"/>
                    </a:xfrm>
                    <a:prstGeom prst="rect"/>
                  </pic:spPr>
                </pic:pic>
              </a:graphicData>
            </a:graphic>
          </wp:inline>
        </w:drawing>
      </w:r>
    </w:p>
    <w:p>
      <w:pPr>
        <w:spacing w:after="160"/>
      </w:pPr>
      <w:r>
        <w:rPr>
          <w:b/>
          <w:sz w:val="19"/>
        </w:rPr>
        <w:t xml:space="preserve">Figure 2. </w:t>
      </w:r>
      <w:r>
        <w:rPr>
          <w:sz w:val="19"/>
        </w:rPr>
        <w:t>Distribution of total scores in the first 24 hours (missing components scored 0).</w:t>
      </w:r>
    </w:p>
    <w:p>
      <w:pPr>
        <w:keepNext/>
        <w:spacing w:after="60"/>
      </w:pPr>
      <w:r>
        <w:rPr>
          <w:b/>
          <w:sz w:val="19"/>
        </w:rPr>
        <w:t xml:space="preserve">Table 3. </w:t>
      </w:r>
      <w:r>
        <w:rPr>
          <w:sz w:val="19"/>
        </w:rPr>
        <w:t>Subgroup AUROC for in-hospital mortality and paired change (SOFA-2 minus SOFA-1). Reference groups are marked with an asterisk; Unknown/Declined race and Other/Missing insurance are not shown.</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cantSplit w:val="true"/>
        </w:trPr>
        <w:tc>
          <w:tcPr>
            <w:tcW w:type="dxa" w:w="1656"/>
            <w:shd w:val="clear" w:color="auto" w:fill="D9E2F3"/>
          </w:tcPr>
          <w:p>
            <w:pPr>
              <w:spacing w:after="0" w:line="240" w:lineRule="auto"/>
            </w:pPr>
            <w:r/>
            <w:r>
              <w:rPr>
                <w:b/>
                <w:sz w:val="15"/>
              </w:rPr>
              <w:t>Group</w:t>
            </w:r>
          </w:p>
        </w:tc>
        <w:tc>
          <w:tcPr>
            <w:tcW w:type="dxa" w:w="1368"/>
            <w:shd w:val="clear" w:color="auto" w:fill="D9E2F3"/>
          </w:tcPr>
          <w:p>
            <w:pPr>
              <w:spacing w:after="0" w:line="240" w:lineRule="auto"/>
              <w:jc w:val="center"/>
            </w:pPr>
            <w:r/>
            <w:r>
              <w:rPr>
                <w:b/>
                <w:sz w:val="15"/>
              </w:rPr>
              <w:t>n (deaths)</w:t>
            </w:r>
          </w:p>
        </w:tc>
        <w:tc>
          <w:tcPr>
            <w:tcW w:type="dxa" w:w="1008"/>
            <w:shd w:val="clear" w:color="auto" w:fill="D9E2F3"/>
          </w:tcPr>
          <w:p>
            <w:pPr>
              <w:spacing w:after="0" w:line="240" w:lineRule="auto"/>
              <w:jc w:val="center"/>
            </w:pPr>
            <w:r/>
            <w:r>
              <w:rPr>
                <w:b/>
                <w:sz w:val="15"/>
              </w:rPr>
              <w:t>SOFA-1 community</w:t>
            </w:r>
          </w:p>
        </w:tc>
        <w:tc>
          <w:tcPr>
            <w:tcW w:type="dxa" w:w="1008"/>
            <w:shd w:val="clear" w:color="auto" w:fill="D9E2F3"/>
          </w:tcPr>
          <w:p>
            <w:pPr>
              <w:spacing w:after="0" w:line="240" w:lineRule="auto"/>
              <w:jc w:val="center"/>
            </w:pPr>
            <w:r/>
            <w:r>
              <w:rPr>
                <w:b/>
                <w:sz w:val="15"/>
              </w:rPr>
              <w:t>SOFA-1 as charted</w:t>
            </w:r>
          </w:p>
        </w:tc>
        <w:tc>
          <w:tcPr>
            <w:tcW w:type="dxa" w:w="864"/>
            <w:shd w:val="clear" w:color="auto" w:fill="D9E2F3"/>
          </w:tcPr>
          <w:p>
            <w:pPr>
              <w:spacing w:after="0" w:line="240" w:lineRule="auto"/>
              <w:jc w:val="center"/>
            </w:pPr>
            <w:r/>
            <w:r>
              <w:rPr>
                <w:b/>
                <w:sz w:val="15"/>
              </w:rPr>
              <w:t>SOFA-2</w:t>
            </w:r>
          </w:p>
        </w:tc>
        <w:tc>
          <w:tcPr>
            <w:tcW w:type="dxa" w:w="1872"/>
            <w:shd w:val="clear" w:color="auto" w:fill="D9E2F3"/>
          </w:tcPr>
          <w:p>
            <w:pPr>
              <w:spacing w:after="0" w:line="240" w:lineRule="auto"/>
              <w:jc w:val="center"/>
            </w:pPr>
            <w:r/>
            <w:r>
              <w:rPr>
                <w:b/>
                <w:sz w:val="15"/>
              </w:rPr>
              <w:t>Δ vs community (95% CI)</w:t>
            </w:r>
          </w:p>
        </w:tc>
        <w:tc>
          <w:tcPr>
            <w:tcW w:type="dxa" w:w="1872"/>
            <w:shd w:val="clear" w:color="auto" w:fill="D9E2F3"/>
          </w:tcPr>
          <w:p>
            <w:pPr>
              <w:spacing w:after="0" w:line="240" w:lineRule="auto"/>
              <w:jc w:val="center"/>
            </w:pPr>
            <w:r/>
            <w:r>
              <w:rPr>
                <w:b/>
                <w:sz w:val="15"/>
              </w:rPr>
              <w:t>Δ vs as charted (95% CI)</w:t>
            </w:r>
          </w:p>
        </w:tc>
      </w:tr>
      <w:tr>
        <w:trPr>
          <w:cantSplit w:val="true"/>
        </w:trPr>
        <w:tc>
          <w:tcPr>
            <w:tcW w:type="dxa" w:w="1656"/>
            <w:shd w:val="clear" w:color="auto" w:fill="F2F2F2"/>
          </w:tcPr>
          <w:p>
            <w:pPr>
              <w:spacing w:after="0" w:line="240" w:lineRule="auto"/>
            </w:pPr>
            <w:r/>
            <w:r>
              <w:rPr>
                <w:b/>
                <w:sz w:val="15"/>
              </w:rPr>
              <w:t>Sex</w:t>
            </w:r>
          </w:p>
        </w:tc>
        <w:tc>
          <w:tcPr>
            <w:tcW w:type="dxa" w:w="1368"/>
            <w:shd w:val="clear" w:color="auto" w:fill="F2F2F2"/>
          </w:tcPr>
          <w:p>
            <w:pPr>
              <w:spacing w:after="0" w:line="240" w:lineRule="auto"/>
            </w:pPr>
            <w:r/>
            <w:r>
              <w:rPr>
                <w:b/>
                <w:sz w:val="15"/>
              </w:rPr>
            </w:r>
          </w:p>
        </w:tc>
        <w:tc>
          <w:tcPr>
            <w:tcW w:type="dxa" w:w="1008"/>
            <w:shd w:val="clear" w:color="auto" w:fill="F2F2F2"/>
          </w:tcPr>
          <w:p>
            <w:pPr>
              <w:spacing w:after="0" w:line="240" w:lineRule="auto"/>
            </w:pPr>
            <w:r/>
            <w:r>
              <w:rPr>
                <w:b/>
                <w:sz w:val="15"/>
              </w:rPr>
            </w:r>
          </w:p>
        </w:tc>
        <w:tc>
          <w:tcPr>
            <w:tcW w:type="dxa" w:w="1008"/>
            <w:shd w:val="clear" w:color="auto" w:fill="F2F2F2"/>
          </w:tcPr>
          <w:p>
            <w:pPr>
              <w:spacing w:after="0" w:line="240" w:lineRule="auto"/>
            </w:pPr>
            <w:r/>
            <w:r>
              <w:rPr>
                <w:b/>
                <w:sz w:val="15"/>
              </w:rPr>
            </w:r>
          </w:p>
        </w:tc>
        <w:tc>
          <w:tcPr>
            <w:tcW w:type="dxa" w:w="864"/>
            <w:shd w:val="clear" w:color="auto" w:fill="F2F2F2"/>
          </w:tcPr>
          <w:p>
            <w:pPr>
              <w:spacing w:after="0" w:line="240" w:lineRule="auto"/>
            </w:pPr>
            <w:r/>
            <w:r>
              <w:rPr>
                <w:b/>
                <w:sz w:val="15"/>
              </w:rPr>
            </w:r>
          </w:p>
        </w:tc>
        <w:tc>
          <w:tcPr>
            <w:tcW w:type="dxa" w:w="1872"/>
            <w:shd w:val="clear" w:color="auto" w:fill="F2F2F2"/>
          </w:tcPr>
          <w:p>
            <w:pPr>
              <w:spacing w:after="0" w:line="240" w:lineRule="auto"/>
            </w:pPr>
            <w:r/>
            <w:r>
              <w:rPr>
                <w:b/>
                <w:sz w:val="15"/>
              </w:rPr>
            </w:r>
          </w:p>
        </w:tc>
        <w:tc>
          <w:tcPr>
            <w:tcW w:type="dxa" w:w="1872"/>
            <w:shd w:val="clear" w:color="auto" w:fill="F2F2F2"/>
          </w:tcPr>
          <w:p>
            <w:pPr>
              <w:spacing w:after="0" w:line="240" w:lineRule="auto"/>
            </w:pPr>
            <w:r/>
            <w:r>
              <w:rPr>
                <w:b/>
                <w:sz w:val="15"/>
              </w:rPr>
            </w:r>
          </w:p>
        </w:tc>
      </w:tr>
      <w:tr>
        <w:trPr>
          <w:cantSplit w:val="true"/>
        </w:trPr>
        <w:tc>
          <w:tcPr>
            <w:tcW w:type="dxa" w:w="1656"/>
          </w:tcPr>
          <w:p>
            <w:pPr>
              <w:spacing w:after="0" w:line="240" w:lineRule="auto"/>
            </w:pPr>
            <w:r/>
            <w:r>
              <w:rPr>
                <w:b w:val="0"/>
                <w:sz w:val="15"/>
              </w:rPr>
              <w:t xml:space="preserve">   Male*</w:t>
            </w:r>
          </w:p>
        </w:tc>
        <w:tc>
          <w:tcPr>
            <w:tcW w:type="dxa" w:w="1368"/>
          </w:tcPr>
          <w:p>
            <w:pPr>
              <w:spacing w:after="0" w:line="240" w:lineRule="auto"/>
              <w:jc w:val="center"/>
            </w:pPr>
            <w:r/>
            <w:r>
              <w:rPr>
                <w:b w:val="0"/>
                <w:sz w:val="15"/>
              </w:rPr>
              <w:t>47,520 (5,194)</w:t>
            </w:r>
          </w:p>
        </w:tc>
        <w:tc>
          <w:tcPr>
            <w:tcW w:type="dxa" w:w="1008"/>
          </w:tcPr>
          <w:p>
            <w:pPr>
              <w:spacing w:after="0" w:line="240" w:lineRule="auto"/>
              <w:jc w:val="center"/>
            </w:pPr>
            <w:r/>
            <w:r>
              <w:rPr>
                <w:b w:val="0"/>
                <w:sz w:val="15"/>
              </w:rPr>
              <w:t>0.733</w:t>
            </w:r>
          </w:p>
        </w:tc>
        <w:tc>
          <w:tcPr>
            <w:tcW w:type="dxa" w:w="1008"/>
          </w:tcPr>
          <w:p>
            <w:pPr>
              <w:spacing w:after="0" w:line="240" w:lineRule="auto"/>
              <w:jc w:val="center"/>
            </w:pPr>
            <w:r/>
            <w:r>
              <w:rPr>
                <w:b w:val="0"/>
                <w:sz w:val="15"/>
              </w:rPr>
              <w:t>0.733</w:t>
            </w:r>
          </w:p>
        </w:tc>
        <w:tc>
          <w:tcPr>
            <w:tcW w:type="dxa" w:w="864"/>
          </w:tcPr>
          <w:p>
            <w:pPr>
              <w:spacing w:after="0" w:line="240" w:lineRule="auto"/>
              <w:jc w:val="center"/>
            </w:pPr>
            <w:r/>
            <w:r>
              <w:rPr>
                <w:b w:val="0"/>
                <w:sz w:val="15"/>
              </w:rPr>
              <w:t>0.762</w:t>
            </w:r>
          </w:p>
        </w:tc>
        <w:tc>
          <w:tcPr>
            <w:tcW w:type="dxa" w:w="1872"/>
          </w:tcPr>
          <w:p>
            <w:pPr>
              <w:spacing w:after="0" w:line="240" w:lineRule="auto"/>
              <w:jc w:val="center"/>
            </w:pPr>
            <w:r/>
            <w:r>
              <w:rPr>
                <w:b w:val="0"/>
                <w:sz w:val="15"/>
              </w:rPr>
              <w:t>+0.029 (+0.024 to +0.033)</w:t>
            </w:r>
          </w:p>
        </w:tc>
        <w:tc>
          <w:tcPr>
            <w:tcW w:type="dxa" w:w="1872"/>
          </w:tcPr>
          <w:p>
            <w:pPr>
              <w:spacing w:after="0" w:line="240" w:lineRule="auto"/>
              <w:jc w:val="center"/>
            </w:pPr>
            <w:r/>
            <w:r>
              <w:rPr>
                <w:b w:val="0"/>
                <w:sz w:val="15"/>
              </w:rPr>
              <w:t>+0.029 (+0.025 to +0.033)</w:t>
            </w:r>
          </w:p>
        </w:tc>
      </w:tr>
      <w:tr>
        <w:trPr>
          <w:cantSplit w:val="true"/>
        </w:trPr>
        <w:tc>
          <w:tcPr>
            <w:tcW w:type="dxa" w:w="1656"/>
          </w:tcPr>
          <w:p>
            <w:pPr>
              <w:spacing w:after="0" w:line="240" w:lineRule="auto"/>
            </w:pPr>
            <w:r/>
            <w:r>
              <w:rPr>
                <w:b w:val="0"/>
                <w:sz w:val="15"/>
              </w:rPr>
              <w:t xml:space="preserve">   Female</w:t>
            </w:r>
          </w:p>
        </w:tc>
        <w:tc>
          <w:tcPr>
            <w:tcW w:type="dxa" w:w="1368"/>
          </w:tcPr>
          <w:p>
            <w:pPr>
              <w:spacing w:after="0" w:line="240" w:lineRule="auto"/>
              <w:jc w:val="center"/>
            </w:pPr>
            <w:r/>
            <w:r>
              <w:rPr>
                <w:b w:val="0"/>
                <w:sz w:val="15"/>
              </w:rPr>
              <w:t>37,708 (4,274)</w:t>
            </w:r>
          </w:p>
        </w:tc>
        <w:tc>
          <w:tcPr>
            <w:tcW w:type="dxa" w:w="1008"/>
          </w:tcPr>
          <w:p>
            <w:pPr>
              <w:spacing w:after="0" w:line="240" w:lineRule="auto"/>
              <w:jc w:val="center"/>
            </w:pPr>
            <w:r/>
            <w:r>
              <w:rPr>
                <w:b w:val="0"/>
                <w:sz w:val="15"/>
              </w:rPr>
              <w:t>0.740</w:t>
            </w:r>
          </w:p>
        </w:tc>
        <w:tc>
          <w:tcPr>
            <w:tcW w:type="dxa" w:w="1008"/>
          </w:tcPr>
          <w:p>
            <w:pPr>
              <w:spacing w:after="0" w:line="240" w:lineRule="auto"/>
              <w:jc w:val="center"/>
            </w:pPr>
            <w:r/>
            <w:r>
              <w:rPr>
                <w:b w:val="0"/>
                <w:sz w:val="15"/>
              </w:rPr>
              <w:t>0.760</w:t>
            </w:r>
          </w:p>
        </w:tc>
        <w:tc>
          <w:tcPr>
            <w:tcW w:type="dxa" w:w="864"/>
          </w:tcPr>
          <w:p>
            <w:pPr>
              <w:spacing w:after="0" w:line="240" w:lineRule="auto"/>
              <w:jc w:val="center"/>
            </w:pPr>
            <w:r/>
            <w:r>
              <w:rPr>
                <w:b w:val="0"/>
                <w:sz w:val="15"/>
              </w:rPr>
              <w:t>0.767</w:t>
            </w:r>
          </w:p>
        </w:tc>
        <w:tc>
          <w:tcPr>
            <w:tcW w:type="dxa" w:w="1872"/>
          </w:tcPr>
          <w:p>
            <w:pPr>
              <w:spacing w:after="0" w:line="240" w:lineRule="auto"/>
              <w:jc w:val="center"/>
            </w:pPr>
            <w:r/>
            <w:r>
              <w:rPr>
                <w:b w:val="0"/>
                <w:sz w:val="15"/>
              </w:rPr>
              <w:t>+0.027 (+0.021 to +0.032)</w:t>
            </w:r>
          </w:p>
        </w:tc>
        <w:tc>
          <w:tcPr>
            <w:tcW w:type="dxa" w:w="1872"/>
          </w:tcPr>
          <w:p>
            <w:pPr>
              <w:spacing w:after="0" w:line="240" w:lineRule="auto"/>
              <w:jc w:val="center"/>
            </w:pPr>
            <w:r/>
            <w:r>
              <w:rPr>
                <w:b w:val="0"/>
                <w:sz w:val="15"/>
              </w:rPr>
              <w:t>+0.007 (+0.002 to +0.013)</w:t>
            </w:r>
          </w:p>
        </w:tc>
      </w:tr>
      <w:tr>
        <w:trPr>
          <w:cantSplit w:val="true"/>
        </w:trPr>
        <w:tc>
          <w:tcPr>
            <w:tcW w:type="dxa" w:w="1656"/>
            <w:shd w:val="clear" w:color="auto" w:fill="F2F2F2"/>
          </w:tcPr>
          <w:p>
            <w:pPr>
              <w:spacing w:after="0" w:line="240" w:lineRule="auto"/>
            </w:pPr>
            <w:r/>
            <w:r>
              <w:rPr>
                <w:b/>
                <w:sz w:val="15"/>
              </w:rPr>
              <w:t>Race</w:t>
            </w:r>
          </w:p>
        </w:tc>
        <w:tc>
          <w:tcPr>
            <w:tcW w:type="dxa" w:w="1368"/>
            <w:shd w:val="clear" w:color="auto" w:fill="F2F2F2"/>
          </w:tcPr>
          <w:p>
            <w:pPr>
              <w:spacing w:after="0" w:line="240" w:lineRule="auto"/>
            </w:pPr>
            <w:r/>
            <w:r>
              <w:rPr>
                <w:b/>
                <w:sz w:val="15"/>
              </w:rPr>
            </w:r>
          </w:p>
        </w:tc>
        <w:tc>
          <w:tcPr>
            <w:tcW w:type="dxa" w:w="1008"/>
            <w:shd w:val="clear" w:color="auto" w:fill="F2F2F2"/>
          </w:tcPr>
          <w:p>
            <w:pPr>
              <w:spacing w:after="0" w:line="240" w:lineRule="auto"/>
            </w:pPr>
            <w:r/>
            <w:r>
              <w:rPr>
                <w:b/>
                <w:sz w:val="15"/>
              </w:rPr>
            </w:r>
          </w:p>
        </w:tc>
        <w:tc>
          <w:tcPr>
            <w:tcW w:type="dxa" w:w="1008"/>
            <w:shd w:val="clear" w:color="auto" w:fill="F2F2F2"/>
          </w:tcPr>
          <w:p>
            <w:pPr>
              <w:spacing w:after="0" w:line="240" w:lineRule="auto"/>
            </w:pPr>
            <w:r/>
            <w:r>
              <w:rPr>
                <w:b/>
                <w:sz w:val="15"/>
              </w:rPr>
            </w:r>
          </w:p>
        </w:tc>
        <w:tc>
          <w:tcPr>
            <w:tcW w:type="dxa" w:w="864"/>
            <w:shd w:val="clear" w:color="auto" w:fill="F2F2F2"/>
          </w:tcPr>
          <w:p>
            <w:pPr>
              <w:spacing w:after="0" w:line="240" w:lineRule="auto"/>
            </w:pPr>
            <w:r/>
            <w:r>
              <w:rPr>
                <w:b/>
                <w:sz w:val="15"/>
              </w:rPr>
            </w:r>
          </w:p>
        </w:tc>
        <w:tc>
          <w:tcPr>
            <w:tcW w:type="dxa" w:w="1872"/>
            <w:shd w:val="clear" w:color="auto" w:fill="F2F2F2"/>
          </w:tcPr>
          <w:p>
            <w:pPr>
              <w:spacing w:after="0" w:line="240" w:lineRule="auto"/>
            </w:pPr>
            <w:r/>
            <w:r>
              <w:rPr>
                <w:b/>
                <w:sz w:val="15"/>
              </w:rPr>
            </w:r>
          </w:p>
        </w:tc>
        <w:tc>
          <w:tcPr>
            <w:tcW w:type="dxa" w:w="1872"/>
            <w:shd w:val="clear" w:color="auto" w:fill="F2F2F2"/>
          </w:tcPr>
          <w:p>
            <w:pPr>
              <w:spacing w:after="0" w:line="240" w:lineRule="auto"/>
            </w:pPr>
            <w:r/>
            <w:r>
              <w:rPr>
                <w:b/>
                <w:sz w:val="15"/>
              </w:rPr>
            </w:r>
          </w:p>
        </w:tc>
      </w:tr>
      <w:tr>
        <w:trPr>
          <w:cantSplit w:val="true"/>
        </w:trPr>
        <w:tc>
          <w:tcPr>
            <w:tcW w:type="dxa" w:w="1656"/>
          </w:tcPr>
          <w:p>
            <w:pPr>
              <w:spacing w:after="0" w:line="240" w:lineRule="auto"/>
            </w:pPr>
            <w:r/>
            <w:r>
              <w:rPr>
                <w:b w:val="0"/>
                <w:sz w:val="15"/>
              </w:rPr>
              <w:t xml:space="preserve">   White*</w:t>
            </w:r>
          </w:p>
        </w:tc>
        <w:tc>
          <w:tcPr>
            <w:tcW w:type="dxa" w:w="1368"/>
          </w:tcPr>
          <w:p>
            <w:pPr>
              <w:spacing w:after="0" w:line="240" w:lineRule="auto"/>
              <w:jc w:val="center"/>
            </w:pPr>
            <w:r/>
            <w:r>
              <w:rPr>
                <w:b w:val="0"/>
                <w:sz w:val="15"/>
              </w:rPr>
              <w:t>56,537 (5,747)</w:t>
            </w:r>
          </w:p>
        </w:tc>
        <w:tc>
          <w:tcPr>
            <w:tcW w:type="dxa" w:w="1008"/>
          </w:tcPr>
          <w:p>
            <w:pPr>
              <w:spacing w:after="0" w:line="240" w:lineRule="auto"/>
              <w:jc w:val="center"/>
            </w:pPr>
            <w:r/>
            <w:r>
              <w:rPr>
                <w:b w:val="0"/>
                <w:sz w:val="15"/>
              </w:rPr>
              <w:t>0.732</w:t>
            </w:r>
          </w:p>
        </w:tc>
        <w:tc>
          <w:tcPr>
            <w:tcW w:type="dxa" w:w="1008"/>
          </w:tcPr>
          <w:p>
            <w:pPr>
              <w:spacing w:after="0" w:line="240" w:lineRule="auto"/>
              <w:jc w:val="center"/>
            </w:pPr>
            <w:r/>
            <w:r>
              <w:rPr>
                <w:b w:val="0"/>
                <w:sz w:val="15"/>
              </w:rPr>
              <w:t>0.731</w:t>
            </w:r>
          </w:p>
        </w:tc>
        <w:tc>
          <w:tcPr>
            <w:tcW w:type="dxa" w:w="864"/>
          </w:tcPr>
          <w:p>
            <w:pPr>
              <w:spacing w:after="0" w:line="240" w:lineRule="auto"/>
              <w:jc w:val="center"/>
            </w:pPr>
            <w:r/>
            <w:r>
              <w:rPr>
                <w:b w:val="0"/>
                <w:sz w:val="15"/>
              </w:rPr>
              <w:t>0.758</w:t>
            </w:r>
          </w:p>
        </w:tc>
        <w:tc>
          <w:tcPr>
            <w:tcW w:type="dxa" w:w="1872"/>
          </w:tcPr>
          <w:p>
            <w:pPr>
              <w:spacing w:after="0" w:line="240" w:lineRule="auto"/>
              <w:jc w:val="center"/>
            </w:pPr>
            <w:r/>
            <w:r>
              <w:rPr>
                <w:b w:val="0"/>
                <w:sz w:val="15"/>
              </w:rPr>
              <w:t>+0.026 (+0.021 to +0.031)</w:t>
            </w:r>
          </w:p>
        </w:tc>
        <w:tc>
          <w:tcPr>
            <w:tcW w:type="dxa" w:w="1872"/>
          </w:tcPr>
          <w:p>
            <w:pPr>
              <w:spacing w:after="0" w:line="240" w:lineRule="auto"/>
              <w:jc w:val="center"/>
            </w:pPr>
            <w:r/>
            <w:r>
              <w:rPr>
                <w:b w:val="0"/>
                <w:sz w:val="15"/>
              </w:rPr>
              <w:t>+0.027 (+0.022 to +0.031)</w:t>
            </w:r>
          </w:p>
        </w:tc>
      </w:tr>
      <w:tr>
        <w:trPr>
          <w:cantSplit w:val="true"/>
        </w:trPr>
        <w:tc>
          <w:tcPr>
            <w:tcW w:type="dxa" w:w="1656"/>
          </w:tcPr>
          <w:p>
            <w:pPr>
              <w:spacing w:after="0" w:line="240" w:lineRule="auto"/>
            </w:pPr>
            <w:r/>
            <w:r>
              <w:rPr>
                <w:b w:val="0"/>
                <w:sz w:val="15"/>
              </w:rPr>
              <w:t xml:space="preserve">   Black</w:t>
            </w:r>
          </w:p>
        </w:tc>
        <w:tc>
          <w:tcPr>
            <w:tcW w:type="dxa" w:w="1368"/>
          </w:tcPr>
          <w:p>
            <w:pPr>
              <w:spacing w:after="0" w:line="240" w:lineRule="auto"/>
              <w:jc w:val="center"/>
            </w:pPr>
            <w:r/>
            <w:r>
              <w:rPr>
                <w:b w:val="0"/>
                <w:sz w:val="15"/>
              </w:rPr>
              <w:t>9,364 (895)</w:t>
            </w:r>
          </w:p>
        </w:tc>
        <w:tc>
          <w:tcPr>
            <w:tcW w:type="dxa" w:w="1008"/>
          </w:tcPr>
          <w:p>
            <w:pPr>
              <w:spacing w:after="0" w:line="240" w:lineRule="auto"/>
              <w:jc w:val="center"/>
            </w:pPr>
            <w:r/>
            <w:r>
              <w:rPr>
                <w:b w:val="0"/>
                <w:sz w:val="15"/>
              </w:rPr>
              <w:t>0.753</w:t>
            </w:r>
          </w:p>
        </w:tc>
        <w:tc>
          <w:tcPr>
            <w:tcW w:type="dxa" w:w="1008"/>
          </w:tcPr>
          <w:p>
            <w:pPr>
              <w:spacing w:after="0" w:line="240" w:lineRule="auto"/>
              <w:jc w:val="center"/>
            </w:pPr>
            <w:r/>
            <w:r>
              <w:rPr>
                <w:b w:val="0"/>
                <w:sz w:val="15"/>
              </w:rPr>
              <w:t>0.766</w:t>
            </w:r>
          </w:p>
        </w:tc>
        <w:tc>
          <w:tcPr>
            <w:tcW w:type="dxa" w:w="864"/>
          </w:tcPr>
          <w:p>
            <w:pPr>
              <w:spacing w:after="0" w:line="240" w:lineRule="auto"/>
              <w:jc w:val="center"/>
            </w:pPr>
            <w:r/>
            <w:r>
              <w:rPr>
                <w:b w:val="0"/>
                <w:sz w:val="15"/>
              </w:rPr>
              <w:t>0.768</w:t>
            </w:r>
          </w:p>
        </w:tc>
        <w:tc>
          <w:tcPr>
            <w:tcW w:type="dxa" w:w="1872"/>
          </w:tcPr>
          <w:p>
            <w:pPr>
              <w:spacing w:after="0" w:line="240" w:lineRule="auto"/>
              <w:jc w:val="center"/>
            </w:pPr>
            <w:r/>
            <w:r>
              <w:rPr>
                <w:b w:val="0"/>
                <w:sz w:val="15"/>
              </w:rPr>
              <w:t>+0.015 (+0.004 to +0.026)</w:t>
            </w:r>
          </w:p>
        </w:tc>
        <w:tc>
          <w:tcPr>
            <w:tcW w:type="dxa" w:w="1872"/>
          </w:tcPr>
          <w:p>
            <w:pPr>
              <w:spacing w:after="0" w:line="240" w:lineRule="auto"/>
              <w:jc w:val="center"/>
            </w:pPr>
            <w:r/>
            <w:r>
              <w:rPr>
                <w:b w:val="0"/>
                <w:sz w:val="15"/>
              </w:rPr>
              <w:t>+0.002 (−0.009 to +0.012)</w:t>
            </w:r>
          </w:p>
        </w:tc>
      </w:tr>
      <w:tr>
        <w:trPr>
          <w:cantSplit w:val="true"/>
        </w:trPr>
        <w:tc>
          <w:tcPr>
            <w:tcW w:type="dxa" w:w="1656"/>
          </w:tcPr>
          <w:p>
            <w:pPr>
              <w:spacing w:after="0" w:line="240" w:lineRule="auto"/>
            </w:pPr>
            <w:r/>
            <w:r>
              <w:rPr>
                <w:b w:val="0"/>
                <w:sz w:val="15"/>
              </w:rPr>
              <w:t xml:space="preserve">   Hispanic/Latino</w:t>
            </w:r>
          </w:p>
        </w:tc>
        <w:tc>
          <w:tcPr>
            <w:tcW w:type="dxa" w:w="1368"/>
          </w:tcPr>
          <w:p>
            <w:pPr>
              <w:spacing w:after="0" w:line="240" w:lineRule="auto"/>
              <w:jc w:val="center"/>
            </w:pPr>
            <w:r/>
            <w:r>
              <w:rPr>
                <w:b w:val="0"/>
                <w:sz w:val="15"/>
              </w:rPr>
              <w:t>3,291 (270)</w:t>
            </w:r>
          </w:p>
        </w:tc>
        <w:tc>
          <w:tcPr>
            <w:tcW w:type="dxa" w:w="1008"/>
          </w:tcPr>
          <w:p>
            <w:pPr>
              <w:spacing w:after="0" w:line="240" w:lineRule="auto"/>
              <w:jc w:val="center"/>
            </w:pPr>
            <w:r/>
            <w:r>
              <w:rPr>
                <w:b w:val="0"/>
                <w:sz w:val="15"/>
              </w:rPr>
              <w:t>0.743</w:t>
            </w:r>
          </w:p>
        </w:tc>
        <w:tc>
          <w:tcPr>
            <w:tcW w:type="dxa" w:w="1008"/>
          </w:tcPr>
          <w:p>
            <w:pPr>
              <w:spacing w:after="0" w:line="240" w:lineRule="auto"/>
              <w:jc w:val="center"/>
            </w:pPr>
            <w:r/>
            <w:r>
              <w:rPr>
                <w:b w:val="0"/>
                <w:sz w:val="15"/>
              </w:rPr>
              <w:t>0.755</w:t>
            </w:r>
          </w:p>
        </w:tc>
        <w:tc>
          <w:tcPr>
            <w:tcW w:type="dxa" w:w="864"/>
          </w:tcPr>
          <w:p>
            <w:pPr>
              <w:spacing w:after="0" w:line="240" w:lineRule="auto"/>
              <w:jc w:val="center"/>
            </w:pPr>
            <w:r/>
            <w:r>
              <w:rPr>
                <w:b w:val="0"/>
                <w:sz w:val="15"/>
              </w:rPr>
              <w:t>0.776</w:t>
            </w:r>
          </w:p>
        </w:tc>
        <w:tc>
          <w:tcPr>
            <w:tcW w:type="dxa" w:w="1872"/>
          </w:tcPr>
          <w:p>
            <w:pPr>
              <w:spacing w:after="0" w:line="240" w:lineRule="auto"/>
              <w:jc w:val="center"/>
            </w:pPr>
            <w:r/>
            <w:r>
              <w:rPr>
                <w:b w:val="0"/>
                <w:sz w:val="15"/>
              </w:rPr>
              <w:t>+0.034 (+0.014 to +0.054)</w:t>
            </w:r>
          </w:p>
        </w:tc>
        <w:tc>
          <w:tcPr>
            <w:tcW w:type="dxa" w:w="1872"/>
          </w:tcPr>
          <w:p>
            <w:pPr>
              <w:spacing w:after="0" w:line="240" w:lineRule="auto"/>
              <w:jc w:val="center"/>
            </w:pPr>
            <w:r/>
            <w:r>
              <w:rPr>
                <w:b w:val="0"/>
                <w:sz w:val="15"/>
              </w:rPr>
              <w:t>+0.021 (+0.002 to +0.041)</w:t>
            </w:r>
          </w:p>
        </w:tc>
      </w:tr>
      <w:tr>
        <w:trPr>
          <w:cantSplit w:val="true"/>
        </w:trPr>
        <w:tc>
          <w:tcPr>
            <w:tcW w:type="dxa" w:w="1656"/>
          </w:tcPr>
          <w:p>
            <w:pPr>
              <w:spacing w:after="0" w:line="240" w:lineRule="auto"/>
            </w:pPr>
            <w:r/>
            <w:r>
              <w:rPr>
                <w:b w:val="0"/>
                <w:sz w:val="15"/>
              </w:rPr>
              <w:t xml:space="preserve">   Asian</w:t>
            </w:r>
          </w:p>
        </w:tc>
        <w:tc>
          <w:tcPr>
            <w:tcW w:type="dxa" w:w="1368"/>
          </w:tcPr>
          <w:p>
            <w:pPr>
              <w:spacing w:after="0" w:line="240" w:lineRule="auto"/>
              <w:jc w:val="center"/>
            </w:pPr>
            <w:r/>
            <w:r>
              <w:rPr>
                <w:b w:val="0"/>
                <w:sz w:val="15"/>
              </w:rPr>
              <w:t>2,617 (311)</w:t>
            </w:r>
          </w:p>
        </w:tc>
        <w:tc>
          <w:tcPr>
            <w:tcW w:type="dxa" w:w="1008"/>
          </w:tcPr>
          <w:p>
            <w:pPr>
              <w:spacing w:after="0" w:line="240" w:lineRule="auto"/>
              <w:jc w:val="center"/>
            </w:pPr>
            <w:r/>
            <w:r>
              <w:rPr>
                <w:b w:val="0"/>
                <w:sz w:val="15"/>
              </w:rPr>
              <w:t>0.702</w:t>
            </w:r>
          </w:p>
        </w:tc>
        <w:tc>
          <w:tcPr>
            <w:tcW w:type="dxa" w:w="1008"/>
          </w:tcPr>
          <w:p>
            <w:pPr>
              <w:spacing w:after="0" w:line="240" w:lineRule="auto"/>
              <w:jc w:val="center"/>
            </w:pPr>
            <w:r/>
            <w:r>
              <w:rPr>
                <w:b w:val="0"/>
                <w:sz w:val="15"/>
              </w:rPr>
              <w:t>0.719</w:t>
            </w:r>
          </w:p>
        </w:tc>
        <w:tc>
          <w:tcPr>
            <w:tcW w:type="dxa" w:w="864"/>
          </w:tcPr>
          <w:p>
            <w:pPr>
              <w:spacing w:after="0" w:line="240" w:lineRule="auto"/>
              <w:jc w:val="center"/>
            </w:pPr>
            <w:r/>
            <w:r>
              <w:rPr>
                <w:b w:val="0"/>
                <w:sz w:val="15"/>
              </w:rPr>
              <w:t>0.748</w:t>
            </w:r>
          </w:p>
        </w:tc>
        <w:tc>
          <w:tcPr>
            <w:tcW w:type="dxa" w:w="1872"/>
          </w:tcPr>
          <w:p>
            <w:pPr>
              <w:spacing w:after="0" w:line="240" w:lineRule="auto"/>
              <w:jc w:val="center"/>
            </w:pPr>
            <w:r/>
            <w:r>
              <w:rPr>
                <w:b w:val="0"/>
                <w:sz w:val="15"/>
              </w:rPr>
              <w:t>+0.045 (+0.024 to +0.067)</w:t>
            </w:r>
          </w:p>
        </w:tc>
        <w:tc>
          <w:tcPr>
            <w:tcW w:type="dxa" w:w="1872"/>
          </w:tcPr>
          <w:p>
            <w:pPr>
              <w:spacing w:after="0" w:line="240" w:lineRule="auto"/>
              <w:jc w:val="center"/>
            </w:pPr>
            <w:r/>
            <w:r>
              <w:rPr>
                <w:b w:val="0"/>
                <w:sz w:val="15"/>
              </w:rPr>
              <w:t>+0.029 (+0.009 to +0.048)</w:t>
            </w:r>
          </w:p>
        </w:tc>
      </w:tr>
      <w:tr>
        <w:trPr>
          <w:cantSplit w:val="true"/>
        </w:trPr>
        <w:tc>
          <w:tcPr>
            <w:tcW w:type="dxa" w:w="1656"/>
          </w:tcPr>
          <w:p>
            <w:pPr>
              <w:spacing w:after="0" w:line="240" w:lineRule="auto"/>
            </w:pPr>
            <w:r/>
            <w:r>
              <w:rPr>
                <w:b w:val="0"/>
                <w:sz w:val="15"/>
              </w:rPr>
              <w:t xml:space="preserve">   Other</w:t>
            </w:r>
          </w:p>
        </w:tc>
        <w:tc>
          <w:tcPr>
            <w:tcW w:type="dxa" w:w="1368"/>
          </w:tcPr>
          <w:p>
            <w:pPr>
              <w:spacing w:after="0" w:line="240" w:lineRule="auto"/>
              <w:jc w:val="center"/>
            </w:pPr>
            <w:r/>
            <w:r>
              <w:rPr>
                <w:b w:val="0"/>
                <w:sz w:val="15"/>
              </w:rPr>
              <w:t>3,651 (367)</w:t>
            </w:r>
          </w:p>
        </w:tc>
        <w:tc>
          <w:tcPr>
            <w:tcW w:type="dxa" w:w="1008"/>
          </w:tcPr>
          <w:p>
            <w:pPr>
              <w:spacing w:after="0" w:line="240" w:lineRule="auto"/>
              <w:jc w:val="center"/>
            </w:pPr>
            <w:r/>
            <w:r>
              <w:rPr>
                <w:b w:val="0"/>
                <w:sz w:val="15"/>
              </w:rPr>
              <w:t>0.739</w:t>
            </w:r>
          </w:p>
        </w:tc>
        <w:tc>
          <w:tcPr>
            <w:tcW w:type="dxa" w:w="1008"/>
          </w:tcPr>
          <w:p>
            <w:pPr>
              <w:spacing w:after="0" w:line="240" w:lineRule="auto"/>
              <w:jc w:val="center"/>
            </w:pPr>
            <w:r/>
            <w:r>
              <w:rPr>
                <w:b w:val="0"/>
                <w:sz w:val="15"/>
              </w:rPr>
              <w:t>0.742</w:t>
            </w:r>
          </w:p>
        </w:tc>
        <w:tc>
          <w:tcPr>
            <w:tcW w:type="dxa" w:w="864"/>
          </w:tcPr>
          <w:p>
            <w:pPr>
              <w:spacing w:after="0" w:line="240" w:lineRule="auto"/>
              <w:jc w:val="center"/>
            </w:pPr>
            <w:r/>
            <w:r>
              <w:rPr>
                <w:b w:val="0"/>
                <w:sz w:val="15"/>
              </w:rPr>
              <w:t>0.768</w:t>
            </w:r>
          </w:p>
        </w:tc>
        <w:tc>
          <w:tcPr>
            <w:tcW w:type="dxa" w:w="1872"/>
          </w:tcPr>
          <w:p>
            <w:pPr>
              <w:spacing w:after="0" w:line="240" w:lineRule="auto"/>
              <w:jc w:val="center"/>
            </w:pPr>
            <w:r/>
            <w:r>
              <w:rPr>
                <w:b w:val="0"/>
                <w:sz w:val="15"/>
              </w:rPr>
              <w:t>+0.029 (+0.012 to +0.047)</w:t>
            </w:r>
          </w:p>
        </w:tc>
        <w:tc>
          <w:tcPr>
            <w:tcW w:type="dxa" w:w="1872"/>
          </w:tcPr>
          <w:p>
            <w:pPr>
              <w:spacing w:after="0" w:line="240" w:lineRule="auto"/>
              <w:jc w:val="center"/>
            </w:pPr>
            <w:r/>
            <w:r>
              <w:rPr>
                <w:b w:val="0"/>
                <w:sz w:val="15"/>
              </w:rPr>
              <w:t>+0.026 (+0.010 to +0.043)</w:t>
            </w:r>
          </w:p>
        </w:tc>
      </w:tr>
      <w:tr>
        <w:trPr>
          <w:cantSplit w:val="true"/>
        </w:trPr>
        <w:tc>
          <w:tcPr>
            <w:tcW w:type="dxa" w:w="1656"/>
            <w:shd w:val="clear" w:color="auto" w:fill="F2F2F2"/>
          </w:tcPr>
          <w:p>
            <w:pPr>
              <w:spacing w:after="0" w:line="240" w:lineRule="auto"/>
            </w:pPr>
            <w:r/>
            <w:r>
              <w:rPr>
                <w:b/>
                <w:sz w:val="15"/>
              </w:rPr>
              <w:t>Insurance</w:t>
            </w:r>
          </w:p>
        </w:tc>
        <w:tc>
          <w:tcPr>
            <w:tcW w:type="dxa" w:w="1368"/>
            <w:shd w:val="clear" w:color="auto" w:fill="F2F2F2"/>
          </w:tcPr>
          <w:p>
            <w:pPr>
              <w:spacing w:after="0" w:line="240" w:lineRule="auto"/>
            </w:pPr>
            <w:r/>
            <w:r>
              <w:rPr>
                <w:b/>
                <w:sz w:val="15"/>
              </w:rPr>
            </w:r>
          </w:p>
        </w:tc>
        <w:tc>
          <w:tcPr>
            <w:tcW w:type="dxa" w:w="1008"/>
            <w:shd w:val="clear" w:color="auto" w:fill="F2F2F2"/>
          </w:tcPr>
          <w:p>
            <w:pPr>
              <w:spacing w:after="0" w:line="240" w:lineRule="auto"/>
            </w:pPr>
            <w:r/>
            <w:r>
              <w:rPr>
                <w:b/>
                <w:sz w:val="15"/>
              </w:rPr>
            </w:r>
          </w:p>
        </w:tc>
        <w:tc>
          <w:tcPr>
            <w:tcW w:type="dxa" w:w="1008"/>
            <w:shd w:val="clear" w:color="auto" w:fill="F2F2F2"/>
          </w:tcPr>
          <w:p>
            <w:pPr>
              <w:spacing w:after="0" w:line="240" w:lineRule="auto"/>
            </w:pPr>
            <w:r/>
            <w:r>
              <w:rPr>
                <w:b/>
                <w:sz w:val="15"/>
              </w:rPr>
            </w:r>
          </w:p>
        </w:tc>
        <w:tc>
          <w:tcPr>
            <w:tcW w:type="dxa" w:w="864"/>
            <w:shd w:val="clear" w:color="auto" w:fill="F2F2F2"/>
          </w:tcPr>
          <w:p>
            <w:pPr>
              <w:spacing w:after="0" w:line="240" w:lineRule="auto"/>
            </w:pPr>
            <w:r/>
            <w:r>
              <w:rPr>
                <w:b/>
                <w:sz w:val="15"/>
              </w:rPr>
            </w:r>
          </w:p>
        </w:tc>
        <w:tc>
          <w:tcPr>
            <w:tcW w:type="dxa" w:w="1872"/>
            <w:shd w:val="clear" w:color="auto" w:fill="F2F2F2"/>
          </w:tcPr>
          <w:p>
            <w:pPr>
              <w:spacing w:after="0" w:line="240" w:lineRule="auto"/>
            </w:pPr>
            <w:r/>
            <w:r>
              <w:rPr>
                <w:b/>
                <w:sz w:val="15"/>
              </w:rPr>
            </w:r>
          </w:p>
        </w:tc>
        <w:tc>
          <w:tcPr>
            <w:tcW w:type="dxa" w:w="1872"/>
            <w:shd w:val="clear" w:color="auto" w:fill="F2F2F2"/>
          </w:tcPr>
          <w:p>
            <w:pPr>
              <w:spacing w:after="0" w:line="240" w:lineRule="auto"/>
            </w:pPr>
            <w:r/>
            <w:r>
              <w:rPr>
                <w:b/>
                <w:sz w:val="15"/>
              </w:rPr>
            </w:r>
          </w:p>
        </w:tc>
      </w:tr>
      <w:tr>
        <w:trPr>
          <w:cantSplit w:val="true"/>
        </w:trPr>
        <w:tc>
          <w:tcPr>
            <w:tcW w:type="dxa" w:w="1656"/>
          </w:tcPr>
          <w:p>
            <w:pPr>
              <w:spacing w:after="0" w:line="240" w:lineRule="auto"/>
            </w:pPr>
            <w:r/>
            <w:r>
              <w:rPr>
                <w:b w:val="0"/>
                <w:sz w:val="15"/>
              </w:rPr>
              <w:t xml:space="preserve">   Medicare*</w:t>
            </w:r>
          </w:p>
        </w:tc>
        <w:tc>
          <w:tcPr>
            <w:tcW w:type="dxa" w:w="1368"/>
          </w:tcPr>
          <w:p>
            <w:pPr>
              <w:spacing w:after="0" w:line="240" w:lineRule="auto"/>
              <w:jc w:val="center"/>
            </w:pPr>
            <w:r/>
            <w:r>
              <w:rPr>
                <w:b w:val="0"/>
                <w:sz w:val="15"/>
              </w:rPr>
              <w:t>46,609 (6,160)</w:t>
            </w:r>
          </w:p>
        </w:tc>
        <w:tc>
          <w:tcPr>
            <w:tcW w:type="dxa" w:w="1008"/>
          </w:tcPr>
          <w:p>
            <w:pPr>
              <w:spacing w:after="0" w:line="240" w:lineRule="auto"/>
              <w:jc w:val="center"/>
            </w:pPr>
            <w:r/>
            <w:r>
              <w:rPr>
                <w:b w:val="0"/>
                <w:sz w:val="15"/>
              </w:rPr>
              <w:t>0.707</w:t>
            </w:r>
          </w:p>
        </w:tc>
        <w:tc>
          <w:tcPr>
            <w:tcW w:type="dxa" w:w="1008"/>
          </w:tcPr>
          <w:p>
            <w:pPr>
              <w:spacing w:after="0" w:line="240" w:lineRule="auto"/>
              <w:jc w:val="center"/>
            </w:pPr>
            <w:r/>
            <w:r>
              <w:rPr>
                <w:b w:val="0"/>
                <w:sz w:val="15"/>
              </w:rPr>
              <w:t>0.717</w:t>
            </w:r>
          </w:p>
        </w:tc>
        <w:tc>
          <w:tcPr>
            <w:tcW w:type="dxa" w:w="864"/>
          </w:tcPr>
          <w:p>
            <w:pPr>
              <w:spacing w:after="0" w:line="240" w:lineRule="auto"/>
              <w:jc w:val="center"/>
            </w:pPr>
            <w:r/>
            <w:r>
              <w:rPr>
                <w:b w:val="0"/>
                <w:sz w:val="15"/>
              </w:rPr>
              <w:t>0.734</w:t>
            </w:r>
          </w:p>
        </w:tc>
        <w:tc>
          <w:tcPr>
            <w:tcW w:type="dxa" w:w="1872"/>
          </w:tcPr>
          <w:p>
            <w:pPr>
              <w:spacing w:after="0" w:line="240" w:lineRule="auto"/>
              <w:jc w:val="center"/>
            </w:pPr>
            <w:r/>
            <w:r>
              <w:rPr>
                <w:b w:val="0"/>
                <w:sz w:val="15"/>
              </w:rPr>
              <w:t>+0.027 (+0.022 to +0.032)</w:t>
            </w:r>
          </w:p>
        </w:tc>
        <w:tc>
          <w:tcPr>
            <w:tcW w:type="dxa" w:w="1872"/>
          </w:tcPr>
          <w:p>
            <w:pPr>
              <w:spacing w:after="0" w:line="240" w:lineRule="auto"/>
              <w:jc w:val="center"/>
            </w:pPr>
            <w:r/>
            <w:r>
              <w:rPr>
                <w:b w:val="0"/>
                <w:sz w:val="15"/>
              </w:rPr>
              <w:t>+0.017 (+0.012 to +0.021)</w:t>
            </w:r>
          </w:p>
        </w:tc>
      </w:tr>
      <w:tr>
        <w:trPr>
          <w:cantSplit w:val="true"/>
        </w:trPr>
        <w:tc>
          <w:tcPr>
            <w:tcW w:type="dxa" w:w="1656"/>
          </w:tcPr>
          <w:p>
            <w:pPr>
              <w:spacing w:after="0" w:line="240" w:lineRule="auto"/>
            </w:pPr>
            <w:r/>
            <w:r>
              <w:rPr>
                <w:b w:val="0"/>
                <w:sz w:val="15"/>
              </w:rPr>
              <w:t xml:space="preserve">   Medicaid</w:t>
            </w:r>
          </w:p>
        </w:tc>
        <w:tc>
          <w:tcPr>
            <w:tcW w:type="dxa" w:w="1368"/>
          </w:tcPr>
          <w:p>
            <w:pPr>
              <w:spacing w:after="0" w:line="240" w:lineRule="auto"/>
              <w:jc w:val="center"/>
            </w:pPr>
            <w:r/>
            <w:r>
              <w:rPr>
                <w:b w:val="0"/>
                <w:sz w:val="15"/>
              </w:rPr>
              <w:t>12,809 (1,125)</w:t>
            </w:r>
          </w:p>
        </w:tc>
        <w:tc>
          <w:tcPr>
            <w:tcW w:type="dxa" w:w="1008"/>
          </w:tcPr>
          <w:p>
            <w:pPr>
              <w:spacing w:after="0" w:line="240" w:lineRule="auto"/>
              <w:jc w:val="center"/>
            </w:pPr>
            <w:r/>
            <w:r>
              <w:rPr>
                <w:b w:val="0"/>
                <w:sz w:val="15"/>
              </w:rPr>
              <w:t>0.774</w:t>
            </w:r>
          </w:p>
        </w:tc>
        <w:tc>
          <w:tcPr>
            <w:tcW w:type="dxa" w:w="1008"/>
          </w:tcPr>
          <w:p>
            <w:pPr>
              <w:spacing w:after="0" w:line="240" w:lineRule="auto"/>
              <w:jc w:val="center"/>
            </w:pPr>
            <w:r/>
            <w:r>
              <w:rPr>
                <w:b w:val="0"/>
                <w:sz w:val="15"/>
              </w:rPr>
              <w:t>0.786</w:t>
            </w:r>
          </w:p>
        </w:tc>
        <w:tc>
          <w:tcPr>
            <w:tcW w:type="dxa" w:w="864"/>
          </w:tcPr>
          <w:p>
            <w:pPr>
              <w:spacing w:after="0" w:line="240" w:lineRule="auto"/>
              <w:jc w:val="center"/>
            </w:pPr>
            <w:r/>
            <w:r>
              <w:rPr>
                <w:b w:val="0"/>
                <w:sz w:val="15"/>
              </w:rPr>
              <w:t>0.797</w:t>
            </w:r>
          </w:p>
        </w:tc>
        <w:tc>
          <w:tcPr>
            <w:tcW w:type="dxa" w:w="1872"/>
          </w:tcPr>
          <w:p>
            <w:pPr>
              <w:spacing w:after="0" w:line="240" w:lineRule="auto"/>
              <w:jc w:val="center"/>
            </w:pPr>
            <w:r/>
            <w:r>
              <w:rPr>
                <w:b w:val="0"/>
                <w:sz w:val="15"/>
              </w:rPr>
              <w:t>+0.023 (+0.013 to +0.032)</w:t>
            </w:r>
          </w:p>
        </w:tc>
        <w:tc>
          <w:tcPr>
            <w:tcW w:type="dxa" w:w="1872"/>
          </w:tcPr>
          <w:p>
            <w:pPr>
              <w:spacing w:after="0" w:line="240" w:lineRule="auto"/>
              <w:jc w:val="center"/>
            </w:pPr>
            <w:r/>
            <w:r>
              <w:rPr>
                <w:b w:val="0"/>
                <w:sz w:val="15"/>
              </w:rPr>
              <w:t>+0.011 (+0.001 to +0.020)</w:t>
            </w:r>
          </w:p>
        </w:tc>
      </w:tr>
      <w:tr>
        <w:trPr>
          <w:cantSplit w:val="true"/>
        </w:trPr>
        <w:tc>
          <w:tcPr>
            <w:tcW w:type="dxa" w:w="1656"/>
          </w:tcPr>
          <w:p>
            <w:pPr>
              <w:spacing w:after="0" w:line="240" w:lineRule="auto"/>
            </w:pPr>
            <w:r/>
            <w:r>
              <w:rPr>
                <w:b w:val="0"/>
                <w:sz w:val="15"/>
              </w:rPr>
              <w:t xml:space="preserve">   Private</w:t>
            </w:r>
          </w:p>
        </w:tc>
        <w:tc>
          <w:tcPr>
            <w:tcW w:type="dxa" w:w="1368"/>
          </w:tcPr>
          <w:p>
            <w:pPr>
              <w:spacing w:after="0" w:line="240" w:lineRule="auto"/>
              <w:jc w:val="center"/>
            </w:pPr>
            <w:r/>
            <w:r>
              <w:rPr>
                <w:b w:val="0"/>
                <w:sz w:val="15"/>
              </w:rPr>
              <w:t>22,275 (1,645)</w:t>
            </w:r>
          </w:p>
        </w:tc>
        <w:tc>
          <w:tcPr>
            <w:tcW w:type="dxa" w:w="1008"/>
          </w:tcPr>
          <w:p>
            <w:pPr>
              <w:spacing w:after="0" w:line="240" w:lineRule="auto"/>
              <w:jc w:val="center"/>
            </w:pPr>
            <w:r/>
            <w:r>
              <w:rPr>
                <w:b w:val="0"/>
                <w:sz w:val="15"/>
              </w:rPr>
              <w:t>0.781</w:t>
            </w:r>
          </w:p>
        </w:tc>
        <w:tc>
          <w:tcPr>
            <w:tcW w:type="dxa" w:w="1008"/>
          </w:tcPr>
          <w:p>
            <w:pPr>
              <w:spacing w:after="0" w:line="240" w:lineRule="auto"/>
              <w:jc w:val="center"/>
            </w:pPr>
            <w:r/>
            <w:r>
              <w:rPr>
                <w:b w:val="0"/>
                <w:sz w:val="15"/>
              </w:rPr>
              <w:t>0.779</w:t>
            </w:r>
          </w:p>
        </w:tc>
        <w:tc>
          <w:tcPr>
            <w:tcW w:type="dxa" w:w="864"/>
          </w:tcPr>
          <w:p>
            <w:pPr>
              <w:spacing w:after="0" w:line="240" w:lineRule="auto"/>
              <w:jc w:val="center"/>
            </w:pPr>
            <w:r/>
            <w:r>
              <w:rPr>
                <w:b w:val="0"/>
                <w:sz w:val="15"/>
              </w:rPr>
              <w:t>0.807</w:t>
            </w:r>
          </w:p>
        </w:tc>
        <w:tc>
          <w:tcPr>
            <w:tcW w:type="dxa" w:w="1872"/>
          </w:tcPr>
          <w:p>
            <w:pPr>
              <w:spacing w:after="0" w:line="240" w:lineRule="auto"/>
              <w:jc w:val="center"/>
            </w:pPr>
            <w:r/>
            <w:r>
              <w:rPr>
                <w:b w:val="0"/>
                <w:sz w:val="15"/>
              </w:rPr>
              <w:t>+0.026 (+0.019 to +0.034)</w:t>
            </w:r>
          </w:p>
        </w:tc>
        <w:tc>
          <w:tcPr>
            <w:tcW w:type="dxa" w:w="1872"/>
          </w:tcPr>
          <w:p>
            <w:pPr>
              <w:spacing w:after="0" w:line="240" w:lineRule="auto"/>
              <w:jc w:val="center"/>
            </w:pPr>
            <w:r/>
            <w:r>
              <w:rPr>
                <w:b w:val="0"/>
                <w:sz w:val="15"/>
              </w:rPr>
              <w:t>+0.029 (+0.021 to +0.036)</w:t>
            </w:r>
          </w:p>
        </w:tc>
      </w:tr>
    </w:tbl>
    <w:p>
      <w:pPr>
        <w:spacing w:after="40"/>
      </w:pPr>
    </w:p>
    <w:p>
      <w:pPr>
        <w:keepNext/>
        <w:jc w:val="center"/>
      </w:pPr>
      <w:r>
        <w:drawing>
          <wp:inline xmlns:a="http://schemas.openxmlformats.org/drawingml/2006/main" xmlns:pic="http://schemas.openxmlformats.org/drawingml/2006/picture">
            <wp:extent cx="5120640" cy="3999362"/>
            <wp:docPr id="3" name="Picture 3"/>
            <wp:cNvGraphicFramePr>
              <a:graphicFrameLocks noChangeAspect="1"/>
            </wp:cNvGraphicFramePr>
            <a:graphic>
              <a:graphicData uri="http://schemas.openxmlformats.org/drawingml/2006/picture">
                <pic:pic>
                  <pic:nvPicPr>
                    <pic:cNvPr id="0" name="fig3_delta_auroc.png"/>
                    <pic:cNvPicPr/>
                  </pic:nvPicPr>
                  <pic:blipFill>
                    <a:blip r:embed="rId12"/>
                    <a:stretch>
                      <a:fillRect/>
                    </a:stretch>
                  </pic:blipFill>
                  <pic:spPr>
                    <a:xfrm>
                      <a:off x="0" y="0"/>
                      <a:ext cx="5120640" cy="3999362"/>
                    </a:xfrm>
                    <a:prstGeom prst="rect"/>
                  </pic:spPr>
                </pic:pic>
              </a:graphicData>
            </a:graphic>
          </wp:inline>
        </w:drawing>
      </w:r>
    </w:p>
    <w:p>
      <w:pPr>
        <w:spacing w:after="160"/>
      </w:pPr>
      <w:r>
        <w:rPr>
          <w:b/>
          <w:sz w:val="19"/>
        </w:rPr>
        <w:t xml:space="preserve">Figure 3. </w:t>
      </w:r>
      <w:r>
        <w:rPr>
          <w:sz w:val="19"/>
        </w:rPr>
        <w:t>Paired change in AUROC for in-hospital mortality, SOFA-2 minus SOFA-1, overall and by subgroup. Bars are 95% patient-level bootstrap intervals.</w:t>
      </w:r>
    </w:p>
    <w:p>
      <w:pPr>
        <w:keepNext/>
        <w:spacing w:after="60"/>
      </w:pPr>
      <w:r>
        <w:rPr>
          <w:b/>
          <w:sz w:val="19"/>
        </w:rPr>
        <w:t xml:space="preserve">Table 4. </w:t>
      </w:r>
      <w:r>
        <w:rPr>
          <w:sz w:val="19"/>
        </w:rPr>
        <w:t>Subgroup AUROC gaps (reference minus group) and their change from SOFA-1 to SOFA-2, in-hospital mortality. A negative gap means the group had higher AUROC than the reference. Δgap is the SOFA-2 gap minus the SOFA-1 gap; change in magnitude is |gap SOFA-2| minus |gap SOFA-1| using point estimates.</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cantSplit w:val="true"/>
        </w:trPr>
        <w:tc>
          <w:tcPr>
            <w:tcW w:type="dxa" w:w="1728"/>
            <w:shd w:val="clear" w:color="auto" w:fill="D9E2F3"/>
          </w:tcPr>
          <w:p>
            <w:pPr>
              <w:spacing w:after="0" w:line="240" w:lineRule="auto"/>
            </w:pPr>
            <w:r/>
            <w:r>
              <w:rPr>
                <w:b/>
                <w:sz w:val="15"/>
              </w:rPr>
              <w:t>Contrast</w:t>
            </w:r>
          </w:p>
        </w:tc>
        <w:tc>
          <w:tcPr>
            <w:tcW w:type="dxa" w:w="936"/>
            <w:shd w:val="clear" w:color="auto" w:fill="D9E2F3"/>
          </w:tcPr>
          <w:p>
            <w:pPr>
              <w:spacing w:after="0" w:line="240" w:lineRule="auto"/>
              <w:jc w:val="center"/>
            </w:pPr>
            <w:r/>
            <w:r>
              <w:rPr>
                <w:b/>
                <w:sz w:val="15"/>
              </w:rPr>
              <w:t>Gap, SOFA-1 community</w:t>
            </w:r>
          </w:p>
        </w:tc>
        <w:tc>
          <w:tcPr>
            <w:tcW w:type="dxa" w:w="936"/>
            <w:shd w:val="clear" w:color="auto" w:fill="D9E2F3"/>
          </w:tcPr>
          <w:p>
            <w:pPr>
              <w:spacing w:after="0" w:line="240" w:lineRule="auto"/>
              <w:jc w:val="center"/>
            </w:pPr>
            <w:r/>
            <w:r>
              <w:rPr>
                <w:b/>
                <w:sz w:val="15"/>
              </w:rPr>
              <w:t>Gap, SOFA-1 as charted</w:t>
            </w:r>
          </w:p>
        </w:tc>
        <w:tc>
          <w:tcPr>
            <w:tcW w:type="dxa" w:w="864"/>
            <w:shd w:val="clear" w:color="auto" w:fill="D9E2F3"/>
          </w:tcPr>
          <w:p>
            <w:pPr>
              <w:spacing w:after="0" w:line="240" w:lineRule="auto"/>
              <w:jc w:val="center"/>
            </w:pPr>
            <w:r/>
            <w:r>
              <w:rPr>
                <w:b/>
                <w:sz w:val="15"/>
              </w:rPr>
              <w:t>Gap, SOFA-2</w:t>
            </w:r>
          </w:p>
        </w:tc>
        <w:tc>
          <w:tcPr>
            <w:tcW w:type="dxa" w:w="1728"/>
            <w:shd w:val="clear" w:color="auto" w:fill="D9E2F3"/>
          </w:tcPr>
          <w:p>
            <w:pPr>
              <w:spacing w:after="0" w:line="240" w:lineRule="auto"/>
              <w:jc w:val="center"/>
            </w:pPr>
            <w:r/>
            <w:r>
              <w:rPr>
                <w:b/>
                <w:sz w:val="15"/>
              </w:rPr>
              <w:t>Δgap vs community (95% CI)</w:t>
            </w:r>
          </w:p>
        </w:tc>
        <w:tc>
          <w:tcPr>
            <w:tcW w:type="dxa" w:w="1728"/>
            <w:shd w:val="clear" w:color="auto" w:fill="D9E2F3"/>
          </w:tcPr>
          <w:p>
            <w:pPr>
              <w:spacing w:after="0" w:line="240" w:lineRule="auto"/>
              <w:jc w:val="center"/>
            </w:pPr>
            <w:r/>
            <w:r>
              <w:rPr>
                <w:b/>
                <w:sz w:val="15"/>
              </w:rPr>
              <w:t>Δgap vs as charted (95% CI)</w:t>
            </w:r>
          </w:p>
        </w:tc>
        <w:tc>
          <w:tcPr>
            <w:tcW w:type="dxa" w:w="1368"/>
            <w:shd w:val="clear" w:color="auto" w:fill="D9E2F3"/>
          </w:tcPr>
          <w:p>
            <w:pPr>
              <w:spacing w:after="0" w:line="240" w:lineRule="auto"/>
              <w:jc w:val="center"/>
            </w:pPr>
            <w:r/>
            <w:r>
              <w:rPr>
                <w:b/>
                <w:sz w:val="15"/>
              </w:rPr>
              <w:t>Change in |gap|: as charted / community</w:t>
            </w:r>
          </w:p>
        </w:tc>
      </w:tr>
      <w:tr>
        <w:trPr>
          <w:cantSplit w:val="true"/>
        </w:trPr>
        <w:tc>
          <w:tcPr>
            <w:tcW w:type="dxa" w:w="1728"/>
          </w:tcPr>
          <w:p>
            <w:pPr>
              <w:spacing w:after="0" w:line="240" w:lineRule="auto"/>
            </w:pPr>
            <w:r/>
            <w:r>
              <w:rPr>
                <w:b w:val="0"/>
                <w:sz w:val="15"/>
              </w:rPr>
              <w:t>Male − Female</w:t>
            </w:r>
          </w:p>
        </w:tc>
        <w:tc>
          <w:tcPr>
            <w:tcW w:type="dxa" w:w="936"/>
          </w:tcPr>
          <w:p>
            <w:pPr>
              <w:spacing w:after="0" w:line="240" w:lineRule="auto"/>
              <w:jc w:val="center"/>
            </w:pPr>
            <w:r/>
            <w:r>
              <w:rPr>
                <w:b w:val="0"/>
                <w:sz w:val="15"/>
              </w:rPr>
              <w:t>−0.007</w:t>
            </w:r>
          </w:p>
        </w:tc>
        <w:tc>
          <w:tcPr>
            <w:tcW w:type="dxa" w:w="936"/>
          </w:tcPr>
          <w:p>
            <w:pPr>
              <w:spacing w:after="0" w:line="240" w:lineRule="auto"/>
              <w:jc w:val="center"/>
            </w:pPr>
            <w:r/>
            <w:r>
              <w:rPr>
                <w:b w:val="0"/>
                <w:sz w:val="15"/>
              </w:rPr>
              <w:t>−0.027</w:t>
            </w:r>
          </w:p>
        </w:tc>
        <w:tc>
          <w:tcPr>
            <w:tcW w:type="dxa" w:w="864"/>
          </w:tcPr>
          <w:p>
            <w:pPr>
              <w:spacing w:after="0" w:line="240" w:lineRule="auto"/>
              <w:jc w:val="center"/>
            </w:pPr>
            <w:r/>
            <w:r>
              <w:rPr>
                <w:b w:val="0"/>
                <w:sz w:val="15"/>
              </w:rPr>
              <w:t>−0.005</w:t>
            </w:r>
          </w:p>
        </w:tc>
        <w:tc>
          <w:tcPr>
            <w:tcW w:type="dxa" w:w="1728"/>
          </w:tcPr>
          <w:p>
            <w:pPr>
              <w:spacing w:after="0" w:line="240" w:lineRule="auto"/>
              <w:jc w:val="center"/>
            </w:pPr>
            <w:r/>
            <w:r>
              <w:rPr>
                <w:b w:val="0"/>
                <w:sz w:val="15"/>
              </w:rPr>
              <w:t>+0.002 (−0.005 to +0.009)</w:t>
            </w:r>
          </w:p>
        </w:tc>
        <w:tc>
          <w:tcPr>
            <w:tcW w:type="dxa" w:w="1728"/>
          </w:tcPr>
          <w:p>
            <w:pPr>
              <w:spacing w:after="0" w:line="240" w:lineRule="auto"/>
              <w:jc w:val="center"/>
            </w:pPr>
            <w:r/>
            <w:r>
              <w:rPr>
                <w:b w:val="0"/>
                <w:sz w:val="15"/>
              </w:rPr>
              <w:t>+0.021 (+0.015 to +0.028)</w:t>
            </w:r>
          </w:p>
        </w:tc>
        <w:tc>
          <w:tcPr>
            <w:tcW w:type="dxa" w:w="1368"/>
          </w:tcPr>
          <w:p>
            <w:pPr>
              <w:spacing w:after="0" w:line="240" w:lineRule="auto"/>
              <w:jc w:val="center"/>
            </w:pPr>
            <w:r/>
            <w:r>
              <w:rPr>
                <w:b w:val="0"/>
                <w:sz w:val="15"/>
              </w:rPr>
              <w:t>−0.021 / −0.002</w:t>
            </w:r>
          </w:p>
        </w:tc>
      </w:tr>
      <w:tr>
        <w:trPr>
          <w:cantSplit w:val="true"/>
        </w:trPr>
        <w:tc>
          <w:tcPr>
            <w:tcW w:type="dxa" w:w="1728"/>
          </w:tcPr>
          <w:p>
            <w:pPr>
              <w:spacing w:after="0" w:line="240" w:lineRule="auto"/>
            </w:pPr>
            <w:r/>
            <w:r>
              <w:rPr>
                <w:b w:val="0"/>
                <w:sz w:val="15"/>
              </w:rPr>
              <w:t>White − Black</w:t>
            </w:r>
          </w:p>
        </w:tc>
        <w:tc>
          <w:tcPr>
            <w:tcW w:type="dxa" w:w="936"/>
          </w:tcPr>
          <w:p>
            <w:pPr>
              <w:spacing w:after="0" w:line="240" w:lineRule="auto"/>
              <w:jc w:val="center"/>
            </w:pPr>
            <w:r/>
            <w:r>
              <w:rPr>
                <w:b w:val="0"/>
                <w:sz w:val="15"/>
              </w:rPr>
              <w:t>−0.022</w:t>
            </w:r>
          </w:p>
        </w:tc>
        <w:tc>
          <w:tcPr>
            <w:tcW w:type="dxa" w:w="936"/>
          </w:tcPr>
          <w:p>
            <w:pPr>
              <w:spacing w:after="0" w:line="240" w:lineRule="auto"/>
              <w:jc w:val="center"/>
            </w:pPr>
            <w:r/>
            <w:r>
              <w:rPr>
                <w:b w:val="0"/>
                <w:sz w:val="15"/>
              </w:rPr>
              <w:t>−0.035</w:t>
            </w:r>
          </w:p>
        </w:tc>
        <w:tc>
          <w:tcPr>
            <w:tcW w:type="dxa" w:w="864"/>
          </w:tcPr>
          <w:p>
            <w:pPr>
              <w:spacing w:after="0" w:line="240" w:lineRule="auto"/>
              <w:jc w:val="center"/>
            </w:pPr>
            <w:r/>
            <w:r>
              <w:rPr>
                <w:b w:val="0"/>
                <w:sz w:val="15"/>
              </w:rPr>
              <w:t>−0.010</w:t>
            </w:r>
          </w:p>
        </w:tc>
        <w:tc>
          <w:tcPr>
            <w:tcW w:type="dxa" w:w="1728"/>
          </w:tcPr>
          <w:p>
            <w:pPr>
              <w:spacing w:after="0" w:line="240" w:lineRule="auto"/>
              <w:jc w:val="center"/>
            </w:pPr>
            <w:r/>
            <w:r>
              <w:rPr>
                <w:b w:val="0"/>
                <w:sz w:val="15"/>
              </w:rPr>
              <w:t>+0.011 (0.000 to +0.023)</w:t>
            </w:r>
          </w:p>
        </w:tc>
        <w:tc>
          <w:tcPr>
            <w:tcW w:type="dxa" w:w="1728"/>
          </w:tcPr>
          <w:p>
            <w:pPr>
              <w:spacing w:after="0" w:line="240" w:lineRule="auto"/>
              <w:jc w:val="center"/>
            </w:pPr>
            <w:r/>
            <w:r>
              <w:rPr>
                <w:b w:val="0"/>
                <w:sz w:val="15"/>
              </w:rPr>
              <w:t>+0.025 (+0.013 to +0.036)</w:t>
            </w:r>
          </w:p>
        </w:tc>
        <w:tc>
          <w:tcPr>
            <w:tcW w:type="dxa" w:w="1368"/>
          </w:tcPr>
          <w:p>
            <w:pPr>
              <w:spacing w:after="0" w:line="240" w:lineRule="auto"/>
              <w:jc w:val="center"/>
            </w:pPr>
            <w:r/>
            <w:r>
              <w:rPr>
                <w:b w:val="0"/>
                <w:sz w:val="15"/>
              </w:rPr>
              <w:t>−0.025 / −0.011</w:t>
            </w:r>
          </w:p>
        </w:tc>
      </w:tr>
      <w:tr>
        <w:trPr>
          <w:cantSplit w:val="true"/>
        </w:trPr>
        <w:tc>
          <w:tcPr>
            <w:tcW w:type="dxa" w:w="1728"/>
          </w:tcPr>
          <w:p>
            <w:pPr>
              <w:spacing w:after="0" w:line="240" w:lineRule="auto"/>
            </w:pPr>
            <w:r/>
            <w:r>
              <w:rPr>
                <w:b w:val="0"/>
                <w:sz w:val="15"/>
              </w:rPr>
              <w:t>White − Hispanic/Latino</w:t>
            </w:r>
          </w:p>
        </w:tc>
        <w:tc>
          <w:tcPr>
            <w:tcW w:type="dxa" w:w="936"/>
          </w:tcPr>
          <w:p>
            <w:pPr>
              <w:spacing w:after="0" w:line="240" w:lineRule="auto"/>
              <w:jc w:val="center"/>
            </w:pPr>
            <w:r/>
            <w:r>
              <w:rPr>
                <w:b w:val="0"/>
                <w:sz w:val="15"/>
              </w:rPr>
              <w:t>−0.011</w:t>
            </w:r>
          </w:p>
        </w:tc>
        <w:tc>
          <w:tcPr>
            <w:tcW w:type="dxa" w:w="936"/>
          </w:tcPr>
          <w:p>
            <w:pPr>
              <w:spacing w:after="0" w:line="240" w:lineRule="auto"/>
              <w:jc w:val="center"/>
            </w:pPr>
            <w:r/>
            <w:r>
              <w:rPr>
                <w:b w:val="0"/>
                <w:sz w:val="15"/>
              </w:rPr>
              <w:t>−0.024</w:t>
            </w:r>
          </w:p>
        </w:tc>
        <w:tc>
          <w:tcPr>
            <w:tcW w:type="dxa" w:w="864"/>
          </w:tcPr>
          <w:p>
            <w:pPr>
              <w:spacing w:after="0" w:line="240" w:lineRule="auto"/>
              <w:jc w:val="center"/>
            </w:pPr>
            <w:r/>
            <w:r>
              <w:rPr>
                <w:b w:val="0"/>
                <w:sz w:val="15"/>
              </w:rPr>
              <w:t>−0.019</w:t>
            </w:r>
          </w:p>
        </w:tc>
        <w:tc>
          <w:tcPr>
            <w:tcW w:type="dxa" w:w="1728"/>
          </w:tcPr>
          <w:p>
            <w:pPr>
              <w:spacing w:after="0" w:line="240" w:lineRule="auto"/>
              <w:jc w:val="center"/>
            </w:pPr>
            <w:r/>
            <w:r>
              <w:rPr>
                <w:b w:val="0"/>
                <w:sz w:val="15"/>
              </w:rPr>
              <w:t>−0.008 (−0.028 to +0.013)</w:t>
            </w:r>
          </w:p>
        </w:tc>
        <w:tc>
          <w:tcPr>
            <w:tcW w:type="dxa" w:w="1728"/>
          </w:tcPr>
          <w:p>
            <w:pPr>
              <w:spacing w:after="0" w:line="240" w:lineRule="auto"/>
              <w:jc w:val="center"/>
            </w:pPr>
            <w:r/>
            <w:r>
              <w:rPr>
                <w:b w:val="0"/>
                <w:sz w:val="15"/>
              </w:rPr>
              <w:t>+0.005 (−0.014 to +0.025)</w:t>
            </w:r>
          </w:p>
        </w:tc>
        <w:tc>
          <w:tcPr>
            <w:tcW w:type="dxa" w:w="1368"/>
          </w:tcPr>
          <w:p>
            <w:pPr>
              <w:spacing w:after="0" w:line="240" w:lineRule="auto"/>
              <w:jc w:val="center"/>
            </w:pPr>
            <w:r/>
            <w:r>
              <w:rPr>
                <w:b w:val="0"/>
                <w:sz w:val="15"/>
              </w:rPr>
              <w:t>−0.005 / +0.008</w:t>
            </w:r>
          </w:p>
        </w:tc>
      </w:tr>
      <w:tr>
        <w:trPr>
          <w:cantSplit w:val="true"/>
        </w:trPr>
        <w:tc>
          <w:tcPr>
            <w:tcW w:type="dxa" w:w="1728"/>
          </w:tcPr>
          <w:p>
            <w:pPr>
              <w:spacing w:after="0" w:line="240" w:lineRule="auto"/>
            </w:pPr>
            <w:r/>
            <w:r>
              <w:rPr>
                <w:b w:val="0"/>
                <w:sz w:val="15"/>
              </w:rPr>
              <w:t>White − Asian</w:t>
            </w:r>
          </w:p>
        </w:tc>
        <w:tc>
          <w:tcPr>
            <w:tcW w:type="dxa" w:w="936"/>
          </w:tcPr>
          <w:p>
            <w:pPr>
              <w:spacing w:after="0" w:line="240" w:lineRule="auto"/>
              <w:jc w:val="center"/>
            </w:pPr>
            <w:r/>
            <w:r>
              <w:rPr>
                <w:b w:val="0"/>
                <w:sz w:val="15"/>
              </w:rPr>
              <w:t>+0.030</w:t>
            </w:r>
          </w:p>
        </w:tc>
        <w:tc>
          <w:tcPr>
            <w:tcW w:type="dxa" w:w="936"/>
          </w:tcPr>
          <w:p>
            <w:pPr>
              <w:spacing w:after="0" w:line="240" w:lineRule="auto"/>
              <w:jc w:val="center"/>
            </w:pPr>
            <w:r/>
            <w:r>
              <w:rPr>
                <w:b w:val="0"/>
                <w:sz w:val="15"/>
              </w:rPr>
              <w:t>+0.013</w:t>
            </w:r>
          </w:p>
        </w:tc>
        <w:tc>
          <w:tcPr>
            <w:tcW w:type="dxa" w:w="864"/>
          </w:tcPr>
          <w:p>
            <w:pPr>
              <w:spacing w:after="0" w:line="240" w:lineRule="auto"/>
              <w:jc w:val="center"/>
            </w:pPr>
            <w:r/>
            <w:r>
              <w:rPr>
                <w:b w:val="0"/>
                <w:sz w:val="15"/>
              </w:rPr>
              <w:t>+0.010</w:t>
            </w:r>
          </w:p>
        </w:tc>
        <w:tc>
          <w:tcPr>
            <w:tcW w:type="dxa" w:w="1728"/>
          </w:tcPr>
          <w:p>
            <w:pPr>
              <w:spacing w:after="0" w:line="240" w:lineRule="auto"/>
              <w:jc w:val="center"/>
            </w:pPr>
            <w:r/>
            <w:r>
              <w:rPr>
                <w:b w:val="0"/>
                <w:sz w:val="15"/>
              </w:rPr>
              <w:t>−0.019 (−0.041 to +0.003)</w:t>
            </w:r>
          </w:p>
        </w:tc>
        <w:tc>
          <w:tcPr>
            <w:tcW w:type="dxa" w:w="1728"/>
          </w:tcPr>
          <w:p>
            <w:pPr>
              <w:spacing w:after="0" w:line="240" w:lineRule="auto"/>
              <w:jc w:val="center"/>
            </w:pPr>
            <w:r/>
            <w:r>
              <w:rPr>
                <w:b w:val="0"/>
                <w:sz w:val="15"/>
              </w:rPr>
              <w:t>−0.002 (−0.022 to +0.018)</w:t>
            </w:r>
          </w:p>
        </w:tc>
        <w:tc>
          <w:tcPr>
            <w:tcW w:type="dxa" w:w="1368"/>
          </w:tcPr>
          <w:p>
            <w:pPr>
              <w:spacing w:after="0" w:line="240" w:lineRule="auto"/>
              <w:jc w:val="center"/>
            </w:pPr>
            <w:r/>
            <w:r>
              <w:rPr>
                <w:b w:val="0"/>
                <w:sz w:val="15"/>
              </w:rPr>
              <w:t>−0.002 / −0.019</w:t>
            </w:r>
          </w:p>
        </w:tc>
      </w:tr>
      <w:tr>
        <w:trPr>
          <w:cantSplit w:val="true"/>
        </w:trPr>
        <w:tc>
          <w:tcPr>
            <w:tcW w:type="dxa" w:w="1728"/>
          </w:tcPr>
          <w:p>
            <w:pPr>
              <w:spacing w:after="0" w:line="240" w:lineRule="auto"/>
            </w:pPr>
            <w:r/>
            <w:r>
              <w:rPr>
                <w:b w:val="0"/>
                <w:sz w:val="15"/>
              </w:rPr>
              <w:t>White − Other</w:t>
            </w:r>
          </w:p>
        </w:tc>
        <w:tc>
          <w:tcPr>
            <w:tcW w:type="dxa" w:w="936"/>
          </w:tcPr>
          <w:p>
            <w:pPr>
              <w:spacing w:after="0" w:line="240" w:lineRule="auto"/>
              <w:jc w:val="center"/>
            </w:pPr>
            <w:r/>
            <w:r>
              <w:rPr>
                <w:b w:val="0"/>
                <w:sz w:val="15"/>
              </w:rPr>
              <w:t>−0.007</w:t>
            </w:r>
          </w:p>
        </w:tc>
        <w:tc>
          <w:tcPr>
            <w:tcW w:type="dxa" w:w="936"/>
          </w:tcPr>
          <w:p>
            <w:pPr>
              <w:spacing w:after="0" w:line="240" w:lineRule="auto"/>
              <w:jc w:val="center"/>
            </w:pPr>
            <w:r/>
            <w:r>
              <w:rPr>
                <w:b w:val="0"/>
                <w:sz w:val="15"/>
              </w:rPr>
              <w:t>−0.011</w:t>
            </w:r>
          </w:p>
        </w:tc>
        <w:tc>
          <w:tcPr>
            <w:tcW w:type="dxa" w:w="864"/>
          </w:tcPr>
          <w:p>
            <w:pPr>
              <w:spacing w:after="0" w:line="240" w:lineRule="auto"/>
              <w:jc w:val="center"/>
            </w:pPr>
            <w:r/>
            <w:r>
              <w:rPr>
                <w:b w:val="0"/>
                <w:sz w:val="15"/>
              </w:rPr>
              <w:t>−0.010</w:t>
            </w:r>
          </w:p>
        </w:tc>
        <w:tc>
          <w:tcPr>
            <w:tcW w:type="dxa" w:w="1728"/>
          </w:tcPr>
          <w:p>
            <w:pPr>
              <w:spacing w:after="0" w:line="240" w:lineRule="auto"/>
              <w:jc w:val="center"/>
            </w:pPr>
            <w:r/>
            <w:r>
              <w:rPr>
                <w:b w:val="0"/>
                <w:sz w:val="15"/>
              </w:rPr>
              <w:t>−0.003 (−0.021 to +0.015)</w:t>
            </w:r>
          </w:p>
        </w:tc>
        <w:tc>
          <w:tcPr>
            <w:tcW w:type="dxa" w:w="1728"/>
          </w:tcPr>
          <w:p>
            <w:pPr>
              <w:spacing w:after="0" w:line="240" w:lineRule="auto"/>
              <w:jc w:val="center"/>
            </w:pPr>
            <w:r/>
            <w:r>
              <w:rPr>
                <w:b w:val="0"/>
                <w:sz w:val="15"/>
              </w:rPr>
              <w:t>0.000 (−0.016 to +0.017)</w:t>
            </w:r>
          </w:p>
        </w:tc>
        <w:tc>
          <w:tcPr>
            <w:tcW w:type="dxa" w:w="1368"/>
          </w:tcPr>
          <w:p>
            <w:pPr>
              <w:spacing w:after="0" w:line="240" w:lineRule="auto"/>
              <w:jc w:val="center"/>
            </w:pPr>
            <w:r/>
            <w:r>
              <w:rPr>
                <w:b w:val="0"/>
                <w:sz w:val="15"/>
              </w:rPr>
              <w:t>0.000 / +0.003</w:t>
            </w:r>
          </w:p>
        </w:tc>
      </w:tr>
      <w:tr>
        <w:trPr>
          <w:cantSplit w:val="true"/>
        </w:trPr>
        <w:tc>
          <w:tcPr>
            <w:tcW w:type="dxa" w:w="1728"/>
          </w:tcPr>
          <w:p>
            <w:pPr>
              <w:spacing w:after="0" w:line="240" w:lineRule="auto"/>
            </w:pPr>
            <w:r/>
            <w:r>
              <w:rPr>
                <w:b w:val="0"/>
                <w:sz w:val="15"/>
              </w:rPr>
              <w:t>Medicare − Medicaid</w:t>
            </w:r>
          </w:p>
        </w:tc>
        <w:tc>
          <w:tcPr>
            <w:tcW w:type="dxa" w:w="936"/>
          </w:tcPr>
          <w:p>
            <w:pPr>
              <w:spacing w:after="0" w:line="240" w:lineRule="auto"/>
              <w:jc w:val="center"/>
            </w:pPr>
            <w:r/>
            <w:r>
              <w:rPr>
                <w:b w:val="0"/>
                <w:sz w:val="15"/>
              </w:rPr>
              <w:t>−0.068</w:t>
            </w:r>
          </w:p>
        </w:tc>
        <w:tc>
          <w:tcPr>
            <w:tcW w:type="dxa" w:w="936"/>
          </w:tcPr>
          <w:p>
            <w:pPr>
              <w:spacing w:after="0" w:line="240" w:lineRule="auto"/>
              <w:jc w:val="center"/>
            </w:pPr>
            <w:r/>
            <w:r>
              <w:rPr>
                <w:b w:val="0"/>
                <w:sz w:val="15"/>
              </w:rPr>
              <w:t>−0.069</w:t>
            </w:r>
          </w:p>
        </w:tc>
        <w:tc>
          <w:tcPr>
            <w:tcW w:type="dxa" w:w="864"/>
          </w:tcPr>
          <w:p>
            <w:pPr>
              <w:spacing w:after="0" w:line="240" w:lineRule="auto"/>
              <w:jc w:val="center"/>
            </w:pPr>
            <w:r/>
            <w:r>
              <w:rPr>
                <w:b w:val="0"/>
                <w:sz w:val="15"/>
              </w:rPr>
              <w:t>−0.063</w:t>
            </w:r>
          </w:p>
        </w:tc>
        <w:tc>
          <w:tcPr>
            <w:tcW w:type="dxa" w:w="1728"/>
          </w:tcPr>
          <w:p>
            <w:pPr>
              <w:spacing w:after="0" w:line="240" w:lineRule="auto"/>
              <w:jc w:val="center"/>
            </w:pPr>
            <w:r/>
            <w:r>
              <w:rPr>
                <w:b w:val="0"/>
                <w:sz w:val="15"/>
              </w:rPr>
              <w:t>+0.005 (−0.006 to +0.016)</w:t>
            </w:r>
          </w:p>
        </w:tc>
        <w:tc>
          <w:tcPr>
            <w:tcW w:type="dxa" w:w="1728"/>
          </w:tcPr>
          <w:p>
            <w:pPr>
              <w:spacing w:after="0" w:line="240" w:lineRule="auto"/>
              <w:jc w:val="center"/>
            </w:pPr>
            <w:r/>
            <w:r>
              <w:rPr>
                <w:b w:val="0"/>
                <w:sz w:val="15"/>
              </w:rPr>
              <w:t>+0.006 (−0.004 to +0.017)</w:t>
            </w:r>
          </w:p>
        </w:tc>
        <w:tc>
          <w:tcPr>
            <w:tcW w:type="dxa" w:w="1368"/>
          </w:tcPr>
          <w:p>
            <w:pPr>
              <w:spacing w:after="0" w:line="240" w:lineRule="auto"/>
              <w:jc w:val="center"/>
            </w:pPr>
            <w:r/>
            <w:r>
              <w:rPr>
                <w:b w:val="0"/>
                <w:sz w:val="15"/>
              </w:rPr>
              <w:t>−0.006 / −0.005</w:t>
            </w:r>
          </w:p>
        </w:tc>
      </w:tr>
      <w:tr>
        <w:trPr>
          <w:cantSplit w:val="true"/>
        </w:trPr>
        <w:tc>
          <w:tcPr>
            <w:tcW w:type="dxa" w:w="1728"/>
          </w:tcPr>
          <w:p>
            <w:pPr>
              <w:spacing w:after="0" w:line="240" w:lineRule="auto"/>
            </w:pPr>
            <w:r/>
            <w:r>
              <w:rPr>
                <w:b w:val="0"/>
                <w:sz w:val="15"/>
              </w:rPr>
              <w:t>Medicare − Private</w:t>
            </w:r>
          </w:p>
        </w:tc>
        <w:tc>
          <w:tcPr>
            <w:tcW w:type="dxa" w:w="936"/>
          </w:tcPr>
          <w:p>
            <w:pPr>
              <w:spacing w:after="0" w:line="240" w:lineRule="auto"/>
              <w:jc w:val="center"/>
            </w:pPr>
            <w:r/>
            <w:r>
              <w:rPr>
                <w:b w:val="0"/>
                <w:sz w:val="15"/>
              </w:rPr>
              <w:t>−0.075</w:t>
            </w:r>
          </w:p>
        </w:tc>
        <w:tc>
          <w:tcPr>
            <w:tcW w:type="dxa" w:w="936"/>
          </w:tcPr>
          <w:p>
            <w:pPr>
              <w:spacing w:after="0" w:line="240" w:lineRule="auto"/>
              <w:jc w:val="center"/>
            </w:pPr>
            <w:r/>
            <w:r>
              <w:rPr>
                <w:b w:val="0"/>
                <w:sz w:val="15"/>
              </w:rPr>
              <w:t>−0.062</w:t>
            </w:r>
          </w:p>
        </w:tc>
        <w:tc>
          <w:tcPr>
            <w:tcW w:type="dxa" w:w="864"/>
          </w:tcPr>
          <w:p>
            <w:pPr>
              <w:spacing w:after="0" w:line="240" w:lineRule="auto"/>
              <w:jc w:val="center"/>
            </w:pPr>
            <w:r/>
            <w:r>
              <w:rPr>
                <w:b w:val="0"/>
                <w:sz w:val="15"/>
              </w:rPr>
              <w:t>−0.074</w:t>
            </w:r>
          </w:p>
        </w:tc>
        <w:tc>
          <w:tcPr>
            <w:tcW w:type="dxa" w:w="1728"/>
          </w:tcPr>
          <w:p>
            <w:pPr>
              <w:spacing w:after="0" w:line="240" w:lineRule="auto"/>
              <w:jc w:val="center"/>
            </w:pPr>
            <w:r/>
            <w:r>
              <w:rPr>
                <w:b w:val="0"/>
                <w:sz w:val="15"/>
              </w:rPr>
              <w:t>+0.001 (−0.008 to +0.010)</w:t>
            </w:r>
          </w:p>
        </w:tc>
        <w:tc>
          <w:tcPr>
            <w:tcW w:type="dxa" w:w="1728"/>
          </w:tcPr>
          <w:p>
            <w:pPr>
              <w:spacing w:after="0" w:line="240" w:lineRule="auto"/>
              <w:jc w:val="center"/>
            </w:pPr>
            <w:r/>
            <w:r>
              <w:rPr>
                <w:b w:val="0"/>
                <w:sz w:val="15"/>
              </w:rPr>
              <w:t>−0.012 (−0.020 to −0.003)</w:t>
            </w:r>
          </w:p>
        </w:tc>
        <w:tc>
          <w:tcPr>
            <w:tcW w:type="dxa" w:w="1368"/>
          </w:tcPr>
          <w:p>
            <w:pPr>
              <w:spacing w:after="0" w:line="240" w:lineRule="auto"/>
              <w:jc w:val="center"/>
            </w:pPr>
            <w:r/>
            <w:r>
              <w:rPr>
                <w:b w:val="0"/>
                <w:sz w:val="15"/>
              </w:rPr>
              <w:t>+0.012 / −0.001</w:t>
            </w:r>
          </w:p>
        </w:tc>
      </w:tr>
    </w:tbl>
    <w:p>
      <w:pPr>
        <w:spacing w:after="40"/>
      </w:pPr>
    </w:p>
    <w:p>
      <w:pPr>
        <w:keepNext/>
        <w:jc w:val="center"/>
      </w:pPr>
      <w:r>
        <w:drawing>
          <wp:inline xmlns:a="http://schemas.openxmlformats.org/drawingml/2006/main" xmlns:pic="http://schemas.openxmlformats.org/drawingml/2006/picture">
            <wp:extent cx="5303520" cy="2563428"/>
            <wp:docPr id="4" name="Picture 4"/>
            <wp:cNvGraphicFramePr>
              <a:graphicFrameLocks noChangeAspect="1"/>
            </wp:cNvGraphicFramePr>
            <a:graphic>
              <a:graphicData uri="http://schemas.openxmlformats.org/drawingml/2006/picture">
                <pic:pic>
                  <pic:nvPicPr>
                    <pic:cNvPr id="0" name="fig4_delta_gap.png"/>
                    <pic:cNvPicPr/>
                  </pic:nvPicPr>
                  <pic:blipFill>
                    <a:blip r:embed="rId13"/>
                    <a:stretch>
                      <a:fillRect/>
                    </a:stretch>
                  </pic:blipFill>
                  <pic:spPr>
                    <a:xfrm>
                      <a:off x="0" y="0"/>
                      <a:ext cx="5303520" cy="2563428"/>
                    </a:xfrm>
                    <a:prstGeom prst="rect"/>
                  </pic:spPr>
                </pic:pic>
              </a:graphicData>
            </a:graphic>
          </wp:inline>
        </w:drawing>
      </w:r>
    </w:p>
    <w:p>
      <w:pPr>
        <w:spacing w:after="160"/>
      </w:pPr>
      <w:r>
        <w:rPr>
          <w:b/>
          <w:sz w:val="19"/>
        </w:rPr>
        <w:t xml:space="preserve">Figure 4. </w:t>
      </w:r>
      <w:r>
        <w:rPr>
          <w:sz w:val="19"/>
        </w:rPr>
        <w:t>Change in subgroup AUROC gaps from SOFA-1 to SOFA-2. A positive change means the gap (reference minus group) increased; for most contrasts the SOFA-1 gap was negative, so a positive change reflects a narrower gap (Table 4).</w:t>
      </w:r>
    </w:p>
    <w:p>
      <w:pPr>
        <w:keepNext/>
        <w:spacing w:after="60"/>
      </w:pPr>
      <w:r>
        <w:rPr>
          <w:b/>
          <w:sz w:val="19"/>
        </w:rPr>
        <w:t xml:space="preserve">Table 5. </w:t>
      </w:r>
      <w:r>
        <w:rPr>
          <w:sz w:val="19"/>
        </w:rPr>
        <w:t>Calibration: observed-to-expected deaths (O/E) relative to the pooled score curve, and change in calibration disparity (log O/E of the group minus log O/E of the reference), SOFA-2 minus SOFA-1. In-hospital mortality.</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val="true"/>
        </w:trPr>
        <w:tc>
          <w:tcPr>
            <w:tcW w:type="dxa" w:w="1440"/>
            <w:shd w:val="clear" w:color="auto" w:fill="D9E2F3"/>
          </w:tcPr>
          <w:p>
            <w:pPr>
              <w:spacing w:after="0" w:line="240" w:lineRule="auto"/>
            </w:pPr>
            <w:r/>
            <w:r>
              <w:rPr>
                <w:b/>
                <w:sz w:val="15"/>
              </w:rPr>
              <w:t>Group</w:t>
            </w:r>
          </w:p>
        </w:tc>
        <w:tc>
          <w:tcPr>
            <w:tcW w:type="dxa" w:w="1584"/>
            <w:shd w:val="clear" w:color="auto" w:fill="D9E2F3"/>
          </w:tcPr>
          <w:p>
            <w:pPr>
              <w:spacing w:after="0" w:line="240" w:lineRule="auto"/>
              <w:jc w:val="center"/>
            </w:pPr>
            <w:r/>
            <w:r>
              <w:rPr>
                <w:b/>
                <w:sz w:val="15"/>
              </w:rPr>
              <w:t>O/E SOFA-1 community</w:t>
            </w:r>
          </w:p>
        </w:tc>
        <w:tc>
          <w:tcPr>
            <w:tcW w:type="dxa" w:w="1584"/>
            <w:shd w:val="clear" w:color="auto" w:fill="D9E2F3"/>
          </w:tcPr>
          <w:p>
            <w:pPr>
              <w:spacing w:after="0" w:line="240" w:lineRule="auto"/>
              <w:jc w:val="center"/>
            </w:pPr>
            <w:r/>
            <w:r>
              <w:rPr>
                <w:b/>
                <w:sz w:val="15"/>
              </w:rPr>
              <w:t>O/E SOFA-1 as charted</w:t>
            </w:r>
          </w:p>
        </w:tc>
        <w:tc>
          <w:tcPr>
            <w:tcW w:type="dxa" w:w="1584"/>
            <w:shd w:val="clear" w:color="auto" w:fill="D9E2F3"/>
          </w:tcPr>
          <w:p>
            <w:pPr>
              <w:spacing w:after="0" w:line="240" w:lineRule="auto"/>
              <w:jc w:val="center"/>
            </w:pPr>
            <w:r/>
            <w:r>
              <w:rPr>
                <w:b/>
                <w:sz w:val="15"/>
              </w:rPr>
              <w:t>O/E SOFA-2</w:t>
            </w:r>
          </w:p>
        </w:tc>
        <w:tc>
          <w:tcPr>
            <w:tcW w:type="dxa" w:w="1584"/>
            <w:shd w:val="clear" w:color="auto" w:fill="D9E2F3"/>
          </w:tcPr>
          <w:p>
            <w:pPr>
              <w:spacing w:after="0" w:line="240" w:lineRule="auto"/>
              <w:jc w:val="center"/>
            </w:pPr>
            <w:r/>
            <w:r>
              <w:rPr>
                <w:b/>
                <w:sz w:val="15"/>
              </w:rPr>
              <w:t>Δ disparity vs community</w:t>
            </w:r>
          </w:p>
        </w:tc>
        <w:tc>
          <w:tcPr>
            <w:tcW w:type="dxa" w:w="1584"/>
            <w:shd w:val="clear" w:color="auto" w:fill="D9E2F3"/>
          </w:tcPr>
          <w:p>
            <w:pPr>
              <w:spacing w:after="0" w:line="240" w:lineRule="auto"/>
              <w:jc w:val="center"/>
            </w:pPr>
            <w:r/>
            <w:r>
              <w:rPr>
                <w:b/>
                <w:sz w:val="15"/>
              </w:rPr>
              <w:t>Δ disparity vs as charted</w:t>
            </w:r>
          </w:p>
        </w:tc>
      </w:tr>
      <w:tr>
        <w:trPr>
          <w:cantSplit w:val="true"/>
        </w:trPr>
        <w:tc>
          <w:tcPr>
            <w:tcW w:type="dxa" w:w="1440"/>
            <w:shd w:val="clear" w:color="auto" w:fill="F2F2F2"/>
          </w:tcPr>
          <w:p>
            <w:pPr>
              <w:spacing w:after="0" w:line="240" w:lineRule="auto"/>
            </w:pPr>
            <w:r/>
            <w:r>
              <w:rPr>
                <w:b/>
                <w:sz w:val="15"/>
              </w:rPr>
              <w:t>Sex</w:t>
            </w:r>
          </w:p>
        </w:tc>
        <w:tc>
          <w:tcPr>
            <w:tcW w:type="dxa" w:w="1584"/>
            <w:shd w:val="clear" w:color="auto" w:fill="F2F2F2"/>
          </w:tcPr>
          <w:p>
            <w:pPr>
              <w:spacing w:after="0" w:line="240" w:lineRule="auto"/>
            </w:pPr>
            <w:r/>
            <w:r>
              <w:rPr>
                <w:b/>
                <w:sz w:val="15"/>
              </w:rPr>
            </w:r>
          </w:p>
        </w:tc>
        <w:tc>
          <w:tcPr>
            <w:tcW w:type="dxa" w:w="1584"/>
            <w:shd w:val="clear" w:color="auto" w:fill="F2F2F2"/>
          </w:tcPr>
          <w:p>
            <w:pPr>
              <w:spacing w:after="0" w:line="240" w:lineRule="auto"/>
            </w:pPr>
            <w:r/>
            <w:r>
              <w:rPr>
                <w:b/>
                <w:sz w:val="15"/>
              </w:rPr>
            </w:r>
          </w:p>
        </w:tc>
        <w:tc>
          <w:tcPr>
            <w:tcW w:type="dxa" w:w="1584"/>
            <w:shd w:val="clear" w:color="auto" w:fill="F2F2F2"/>
          </w:tcPr>
          <w:p>
            <w:pPr>
              <w:spacing w:after="0" w:line="240" w:lineRule="auto"/>
            </w:pPr>
            <w:r/>
            <w:r>
              <w:rPr>
                <w:b/>
                <w:sz w:val="15"/>
              </w:rPr>
            </w:r>
          </w:p>
        </w:tc>
        <w:tc>
          <w:tcPr>
            <w:tcW w:type="dxa" w:w="1584"/>
            <w:shd w:val="clear" w:color="auto" w:fill="F2F2F2"/>
          </w:tcPr>
          <w:p>
            <w:pPr>
              <w:spacing w:after="0" w:line="240" w:lineRule="auto"/>
            </w:pPr>
            <w:r/>
            <w:r>
              <w:rPr>
                <w:b/>
                <w:sz w:val="15"/>
              </w:rPr>
            </w:r>
          </w:p>
        </w:tc>
        <w:tc>
          <w:tcPr>
            <w:tcW w:type="dxa" w:w="1584"/>
            <w:shd w:val="clear" w:color="auto" w:fill="F2F2F2"/>
          </w:tcPr>
          <w:p>
            <w:pPr>
              <w:spacing w:after="0" w:line="240" w:lineRule="auto"/>
            </w:pPr>
            <w:r/>
            <w:r>
              <w:rPr>
                <w:b/>
                <w:sz w:val="15"/>
              </w:rPr>
            </w:r>
          </w:p>
        </w:tc>
      </w:tr>
      <w:tr>
        <w:trPr>
          <w:cantSplit w:val="true"/>
        </w:trPr>
        <w:tc>
          <w:tcPr>
            <w:tcW w:type="dxa" w:w="1440"/>
          </w:tcPr>
          <w:p>
            <w:pPr>
              <w:spacing w:after="0" w:line="240" w:lineRule="auto"/>
            </w:pPr>
            <w:r/>
            <w:r>
              <w:rPr>
                <w:b w:val="0"/>
                <w:sz w:val="15"/>
              </w:rPr>
              <w:t xml:space="preserve">   Male*</w:t>
            </w:r>
          </w:p>
        </w:tc>
        <w:tc>
          <w:tcPr>
            <w:tcW w:type="dxa" w:w="1584"/>
          </w:tcPr>
          <w:p>
            <w:pPr>
              <w:spacing w:after="0" w:line="240" w:lineRule="auto"/>
              <w:jc w:val="center"/>
            </w:pPr>
            <w:r/>
            <w:r>
              <w:rPr>
                <w:b w:val="0"/>
                <w:sz w:val="15"/>
              </w:rPr>
              <w:t>0.93 (0.91 to 0.94)</w:t>
            </w:r>
          </w:p>
        </w:tc>
        <w:tc>
          <w:tcPr>
            <w:tcW w:type="dxa" w:w="1584"/>
          </w:tcPr>
          <w:p>
            <w:pPr>
              <w:spacing w:after="0" w:line="240" w:lineRule="auto"/>
              <w:jc w:val="center"/>
            </w:pPr>
            <w:r/>
            <w:r>
              <w:rPr>
                <w:b w:val="0"/>
                <w:sz w:val="15"/>
              </w:rPr>
              <w:t>0.91 (0.90 to 0.93)</w:t>
            </w:r>
          </w:p>
        </w:tc>
        <w:tc>
          <w:tcPr>
            <w:tcW w:type="dxa" w:w="1584"/>
          </w:tcPr>
          <w:p>
            <w:pPr>
              <w:spacing w:after="0" w:line="240" w:lineRule="auto"/>
              <w:jc w:val="center"/>
            </w:pPr>
            <w:r/>
            <w:r>
              <w:rPr>
                <w:b w:val="0"/>
                <w:sz w:val="15"/>
              </w:rPr>
              <w:t>0.92 (0.91 to 0.94)</w:t>
            </w:r>
          </w:p>
        </w:tc>
        <w:tc>
          <w:tcPr>
            <w:tcW w:type="dxa" w:w="1584"/>
          </w:tcPr>
          <w:p>
            <w:pPr>
              <w:spacing w:after="0" w:line="240" w:lineRule="auto"/>
              <w:jc w:val="center"/>
            </w:pPr>
            <w:r/>
            <w:r>
              <w:rPr>
                <w:b w:val="0"/>
                <w:sz w:val="15"/>
              </w:rPr>
              <w:t>reference</w:t>
            </w:r>
          </w:p>
        </w:tc>
        <w:tc>
          <w:tcPr>
            <w:tcW w:type="dxa" w:w="1584"/>
          </w:tcPr>
          <w:p>
            <w:pPr>
              <w:spacing w:after="0" w:line="240" w:lineRule="auto"/>
              <w:jc w:val="center"/>
            </w:pPr>
            <w:r/>
            <w:r>
              <w:rPr>
                <w:b w:val="0"/>
                <w:sz w:val="15"/>
              </w:rPr>
              <w:t>reference</w:t>
            </w:r>
          </w:p>
        </w:tc>
      </w:tr>
      <w:tr>
        <w:trPr>
          <w:cantSplit w:val="true"/>
        </w:trPr>
        <w:tc>
          <w:tcPr>
            <w:tcW w:type="dxa" w:w="1440"/>
          </w:tcPr>
          <w:p>
            <w:pPr>
              <w:spacing w:after="0" w:line="240" w:lineRule="auto"/>
            </w:pPr>
            <w:r/>
            <w:r>
              <w:rPr>
                <w:b w:val="0"/>
                <w:sz w:val="15"/>
              </w:rPr>
              <w:t xml:space="preserve">   Female</w:t>
            </w:r>
          </w:p>
        </w:tc>
        <w:tc>
          <w:tcPr>
            <w:tcW w:type="dxa" w:w="1584"/>
          </w:tcPr>
          <w:p>
            <w:pPr>
              <w:spacing w:after="0" w:line="240" w:lineRule="auto"/>
              <w:jc w:val="center"/>
            </w:pPr>
            <w:r/>
            <w:r>
              <w:rPr>
                <w:b w:val="0"/>
                <w:sz w:val="15"/>
              </w:rPr>
              <w:t>1.10 (1.08 to 1.13)</w:t>
            </w:r>
          </w:p>
        </w:tc>
        <w:tc>
          <w:tcPr>
            <w:tcW w:type="dxa" w:w="1584"/>
          </w:tcPr>
          <w:p>
            <w:pPr>
              <w:spacing w:after="0" w:line="240" w:lineRule="auto"/>
              <w:jc w:val="center"/>
            </w:pPr>
            <w:r/>
            <w:r>
              <w:rPr>
                <w:b w:val="0"/>
                <w:sz w:val="15"/>
              </w:rPr>
              <w:t>1.13 (1.11 to 1.15)</w:t>
            </w:r>
          </w:p>
        </w:tc>
        <w:tc>
          <w:tcPr>
            <w:tcW w:type="dxa" w:w="1584"/>
          </w:tcPr>
          <w:p>
            <w:pPr>
              <w:spacing w:after="0" w:line="240" w:lineRule="auto"/>
              <w:jc w:val="center"/>
            </w:pPr>
            <w:r/>
            <w:r>
              <w:rPr>
                <w:b w:val="0"/>
                <w:sz w:val="15"/>
              </w:rPr>
              <w:t>1.12 (1.09 to 1.14)</w:t>
            </w:r>
          </w:p>
        </w:tc>
        <w:tc>
          <w:tcPr>
            <w:tcW w:type="dxa" w:w="1584"/>
          </w:tcPr>
          <w:p>
            <w:pPr>
              <w:spacing w:after="0" w:line="240" w:lineRule="auto"/>
              <w:jc w:val="center"/>
            </w:pPr>
            <w:r/>
            <w:r>
              <w:rPr>
                <w:b w:val="0"/>
                <w:sz w:val="15"/>
              </w:rPr>
              <w:t>+0.018 (+0.010 to +0.026)</w:t>
            </w:r>
          </w:p>
        </w:tc>
        <w:tc>
          <w:tcPr>
            <w:tcW w:type="dxa" w:w="1584"/>
          </w:tcPr>
          <w:p>
            <w:pPr>
              <w:spacing w:after="0" w:line="240" w:lineRule="auto"/>
              <w:jc w:val="center"/>
            </w:pPr>
            <w:r/>
            <w:r>
              <w:rPr>
                <w:b w:val="0"/>
                <w:sz w:val="15"/>
              </w:rPr>
              <w:t>−0.018 (−0.026 to −0.010)</w:t>
            </w:r>
          </w:p>
        </w:tc>
      </w:tr>
      <w:tr>
        <w:trPr>
          <w:cantSplit w:val="true"/>
        </w:trPr>
        <w:tc>
          <w:tcPr>
            <w:tcW w:type="dxa" w:w="1440"/>
            <w:shd w:val="clear" w:color="auto" w:fill="F2F2F2"/>
          </w:tcPr>
          <w:p>
            <w:pPr>
              <w:spacing w:after="0" w:line="240" w:lineRule="auto"/>
            </w:pPr>
            <w:r/>
            <w:r>
              <w:rPr>
                <w:b/>
                <w:sz w:val="15"/>
              </w:rPr>
              <w:t>Race</w:t>
            </w:r>
          </w:p>
        </w:tc>
        <w:tc>
          <w:tcPr>
            <w:tcW w:type="dxa" w:w="1584"/>
            <w:shd w:val="clear" w:color="auto" w:fill="F2F2F2"/>
          </w:tcPr>
          <w:p>
            <w:pPr>
              <w:spacing w:after="0" w:line="240" w:lineRule="auto"/>
            </w:pPr>
            <w:r/>
            <w:r>
              <w:rPr>
                <w:b/>
                <w:sz w:val="15"/>
              </w:rPr>
            </w:r>
          </w:p>
        </w:tc>
        <w:tc>
          <w:tcPr>
            <w:tcW w:type="dxa" w:w="1584"/>
            <w:shd w:val="clear" w:color="auto" w:fill="F2F2F2"/>
          </w:tcPr>
          <w:p>
            <w:pPr>
              <w:spacing w:after="0" w:line="240" w:lineRule="auto"/>
            </w:pPr>
            <w:r/>
            <w:r>
              <w:rPr>
                <w:b/>
                <w:sz w:val="15"/>
              </w:rPr>
            </w:r>
          </w:p>
        </w:tc>
        <w:tc>
          <w:tcPr>
            <w:tcW w:type="dxa" w:w="1584"/>
            <w:shd w:val="clear" w:color="auto" w:fill="F2F2F2"/>
          </w:tcPr>
          <w:p>
            <w:pPr>
              <w:spacing w:after="0" w:line="240" w:lineRule="auto"/>
            </w:pPr>
            <w:r/>
            <w:r>
              <w:rPr>
                <w:b/>
                <w:sz w:val="15"/>
              </w:rPr>
            </w:r>
          </w:p>
        </w:tc>
        <w:tc>
          <w:tcPr>
            <w:tcW w:type="dxa" w:w="1584"/>
            <w:shd w:val="clear" w:color="auto" w:fill="F2F2F2"/>
          </w:tcPr>
          <w:p>
            <w:pPr>
              <w:spacing w:after="0" w:line="240" w:lineRule="auto"/>
            </w:pPr>
            <w:r/>
            <w:r>
              <w:rPr>
                <w:b/>
                <w:sz w:val="15"/>
              </w:rPr>
            </w:r>
          </w:p>
        </w:tc>
        <w:tc>
          <w:tcPr>
            <w:tcW w:type="dxa" w:w="1584"/>
            <w:shd w:val="clear" w:color="auto" w:fill="F2F2F2"/>
          </w:tcPr>
          <w:p>
            <w:pPr>
              <w:spacing w:after="0" w:line="240" w:lineRule="auto"/>
            </w:pPr>
            <w:r/>
            <w:r>
              <w:rPr>
                <w:b/>
                <w:sz w:val="15"/>
              </w:rPr>
            </w:r>
          </w:p>
        </w:tc>
      </w:tr>
      <w:tr>
        <w:trPr>
          <w:cantSplit w:val="true"/>
        </w:trPr>
        <w:tc>
          <w:tcPr>
            <w:tcW w:type="dxa" w:w="1440"/>
          </w:tcPr>
          <w:p>
            <w:pPr>
              <w:spacing w:after="0" w:line="240" w:lineRule="auto"/>
            </w:pPr>
            <w:r/>
            <w:r>
              <w:rPr>
                <w:b w:val="0"/>
                <w:sz w:val="15"/>
              </w:rPr>
              <w:t xml:space="preserve">   White*</w:t>
            </w:r>
          </w:p>
        </w:tc>
        <w:tc>
          <w:tcPr>
            <w:tcW w:type="dxa" w:w="1584"/>
          </w:tcPr>
          <w:p>
            <w:pPr>
              <w:spacing w:after="0" w:line="240" w:lineRule="auto"/>
              <w:jc w:val="center"/>
            </w:pPr>
            <w:r/>
            <w:r>
              <w:rPr>
                <w:b w:val="0"/>
                <w:sz w:val="15"/>
              </w:rPr>
              <w:t>0.94 (0.93 to 0.95)</w:t>
            </w:r>
          </w:p>
        </w:tc>
        <w:tc>
          <w:tcPr>
            <w:tcW w:type="dxa" w:w="1584"/>
          </w:tcPr>
          <w:p>
            <w:pPr>
              <w:spacing w:after="0" w:line="240" w:lineRule="auto"/>
              <w:jc w:val="center"/>
            </w:pPr>
            <w:r/>
            <w:r>
              <w:rPr>
                <w:b w:val="0"/>
                <w:sz w:val="15"/>
              </w:rPr>
              <w:t>0.95 (0.93 to 0.96)</w:t>
            </w:r>
          </w:p>
        </w:tc>
        <w:tc>
          <w:tcPr>
            <w:tcW w:type="dxa" w:w="1584"/>
          </w:tcPr>
          <w:p>
            <w:pPr>
              <w:spacing w:after="0" w:line="240" w:lineRule="auto"/>
              <w:jc w:val="center"/>
            </w:pPr>
            <w:r/>
            <w:r>
              <w:rPr>
                <w:b w:val="0"/>
                <w:sz w:val="15"/>
              </w:rPr>
              <w:t>0.95 (0.94 to 0.96)</w:t>
            </w:r>
          </w:p>
        </w:tc>
        <w:tc>
          <w:tcPr>
            <w:tcW w:type="dxa" w:w="1584"/>
          </w:tcPr>
          <w:p>
            <w:pPr>
              <w:spacing w:after="0" w:line="240" w:lineRule="auto"/>
              <w:jc w:val="center"/>
            </w:pPr>
            <w:r/>
            <w:r>
              <w:rPr>
                <w:b w:val="0"/>
                <w:sz w:val="15"/>
              </w:rPr>
              <w:t>reference</w:t>
            </w:r>
          </w:p>
        </w:tc>
        <w:tc>
          <w:tcPr>
            <w:tcW w:type="dxa" w:w="1584"/>
          </w:tcPr>
          <w:p>
            <w:pPr>
              <w:spacing w:after="0" w:line="240" w:lineRule="auto"/>
              <w:jc w:val="center"/>
            </w:pPr>
            <w:r/>
            <w:r>
              <w:rPr>
                <w:b w:val="0"/>
                <w:sz w:val="15"/>
              </w:rPr>
              <w:t>reference</w:t>
            </w:r>
          </w:p>
        </w:tc>
      </w:tr>
      <w:tr>
        <w:trPr>
          <w:cantSplit w:val="true"/>
        </w:trPr>
        <w:tc>
          <w:tcPr>
            <w:tcW w:type="dxa" w:w="1440"/>
          </w:tcPr>
          <w:p>
            <w:pPr>
              <w:spacing w:after="0" w:line="240" w:lineRule="auto"/>
            </w:pPr>
            <w:r/>
            <w:r>
              <w:rPr>
                <w:b w:val="0"/>
                <w:sz w:val="15"/>
              </w:rPr>
              <w:t xml:space="preserve">   Black</w:t>
            </w:r>
          </w:p>
        </w:tc>
        <w:tc>
          <w:tcPr>
            <w:tcW w:type="dxa" w:w="1584"/>
          </w:tcPr>
          <w:p>
            <w:pPr>
              <w:spacing w:after="0" w:line="240" w:lineRule="auto"/>
              <w:jc w:val="center"/>
            </w:pPr>
            <w:r/>
            <w:r>
              <w:rPr>
                <w:b w:val="0"/>
                <w:sz w:val="15"/>
              </w:rPr>
              <w:t>0.87 (0.82 to 0.92)</w:t>
            </w:r>
          </w:p>
        </w:tc>
        <w:tc>
          <w:tcPr>
            <w:tcW w:type="dxa" w:w="1584"/>
          </w:tcPr>
          <w:p>
            <w:pPr>
              <w:spacing w:after="0" w:line="240" w:lineRule="auto"/>
              <w:jc w:val="center"/>
            </w:pPr>
            <w:r/>
            <w:r>
              <w:rPr>
                <w:b w:val="0"/>
                <w:sz w:val="15"/>
              </w:rPr>
              <w:t>0.92 (0.87 to 0.97)</w:t>
            </w:r>
          </w:p>
        </w:tc>
        <w:tc>
          <w:tcPr>
            <w:tcW w:type="dxa" w:w="1584"/>
          </w:tcPr>
          <w:p>
            <w:pPr>
              <w:spacing w:after="0" w:line="240" w:lineRule="auto"/>
              <w:jc w:val="center"/>
            </w:pPr>
            <w:r/>
            <w:r>
              <w:rPr>
                <w:b w:val="0"/>
                <w:sz w:val="15"/>
              </w:rPr>
              <w:t>0.88 (0.83 to 0.93)</w:t>
            </w:r>
          </w:p>
        </w:tc>
        <w:tc>
          <w:tcPr>
            <w:tcW w:type="dxa" w:w="1584"/>
          </w:tcPr>
          <w:p>
            <w:pPr>
              <w:spacing w:after="0" w:line="240" w:lineRule="auto"/>
              <w:jc w:val="center"/>
            </w:pPr>
            <w:r/>
            <w:r>
              <w:rPr>
                <w:b w:val="0"/>
                <w:sz w:val="15"/>
              </w:rPr>
              <w:t>+0.006 (−0.006 to +0.018)</w:t>
            </w:r>
          </w:p>
        </w:tc>
        <w:tc>
          <w:tcPr>
            <w:tcW w:type="dxa" w:w="1584"/>
          </w:tcPr>
          <w:p>
            <w:pPr>
              <w:spacing w:after="0" w:line="240" w:lineRule="auto"/>
              <w:jc w:val="center"/>
            </w:pPr>
            <w:r/>
            <w:r>
              <w:rPr>
                <w:b w:val="0"/>
                <w:sz w:val="15"/>
              </w:rPr>
              <w:t>−0.045 (−0.058 to −0.031)</w:t>
            </w:r>
          </w:p>
        </w:tc>
      </w:tr>
      <w:tr>
        <w:trPr>
          <w:cantSplit w:val="true"/>
        </w:trPr>
        <w:tc>
          <w:tcPr>
            <w:tcW w:type="dxa" w:w="1440"/>
          </w:tcPr>
          <w:p>
            <w:pPr>
              <w:spacing w:after="0" w:line="240" w:lineRule="auto"/>
            </w:pPr>
            <w:r/>
            <w:r>
              <w:rPr>
                <w:b w:val="0"/>
                <w:sz w:val="15"/>
              </w:rPr>
              <w:t xml:space="preserve">   Hispanic/Latino</w:t>
            </w:r>
          </w:p>
        </w:tc>
        <w:tc>
          <w:tcPr>
            <w:tcW w:type="dxa" w:w="1584"/>
          </w:tcPr>
          <w:p>
            <w:pPr>
              <w:spacing w:after="0" w:line="240" w:lineRule="auto"/>
              <w:jc w:val="center"/>
            </w:pPr>
            <w:r/>
            <w:r>
              <w:rPr>
                <w:b w:val="0"/>
                <w:sz w:val="15"/>
              </w:rPr>
              <w:t>0.75 (0.67 to 0.83)</w:t>
            </w:r>
          </w:p>
        </w:tc>
        <w:tc>
          <w:tcPr>
            <w:tcW w:type="dxa" w:w="1584"/>
          </w:tcPr>
          <w:p>
            <w:pPr>
              <w:spacing w:after="0" w:line="240" w:lineRule="auto"/>
              <w:jc w:val="center"/>
            </w:pPr>
            <w:r/>
            <w:r>
              <w:rPr>
                <w:b w:val="0"/>
                <w:sz w:val="15"/>
              </w:rPr>
              <w:t>0.76 (0.68 to 0.84)</w:t>
            </w:r>
          </w:p>
        </w:tc>
        <w:tc>
          <w:tcPr>
            <w:tcW w:type="dxa" w:w="1584"/>
          </w:tcPr>
          <w:p>
            <w:pPr>
              <w:spacing w:after="0" w:line="240" w:lineRule="auto"/>
              <w:jc w:val="center"/>
            </w:pPr>
            <w:r/>
            <w:r>
              <w:rPr>
                <w:b w:val="0"/>
                <w:sz w:val="15"/>
              </w:rPr>
              <w:t>0.73 (0.65 to 0.82)</w:t>
            </w:r>
          </w:p>
        </w:tc>
        <w:tc>
          <w:tcPr>
            <w:tcW w:type="dxa" w:w="1584"/>
          </w:tcPr>
          <w:p>
            <w:pPr>
              <w:spacing w:after="0" w:line="240" w:lineRule="auto"/>
              <w:jc w:val="center"/>
            </w:pPr>
            <w:r/>
            <w:r>
              <w:rPr>
                <w:b w:val="0"/>
                <w:sz w:val="15"/>
              </w:rPr>
              <w:t>−0.033 (−0.054 to −0.013)</w:t>
            </w:r>
          </w:p>
        </w:tc>
        <w:tc>
          <w:tcPr>
            <w:tcW w:type="dxa" w:w="1584"/>
          </w:tcPr>
          <w:p>
            <w:pPr>
              <w:spacing w:after="0" w:line="240" w:lineRule="auto"/>
              <w:jc w:val="center"/>
            </w:pPr>
            <w:r/>
            <w:r>
              <w:rPr>
                <w:b w:val="0"/>
                <w:sz w:val="15"/>
              </w:rPr>
              <w:t>−0.039 (−0.060 to −0.017)</w:t>
            </w:r>
          </w:p>
        </w:tc>
      </w:tr>
      <w:tr>
        <w:trPr>
          <w:cantSplit w:val="true"/>
        </w:trPr>
        <w:tc>
          <w:tcPr>
            <w:tcW w:type="dxa" w:w="1440"/>
          </w:tcPr>
          <w:p>
            <w:pPr>
              <w:spacing w:after="0" w:line="240" w:lineRule="auto"/>
            </w:pPr>
            <w:r/>
            <w:r>
              <w:rPr>
                <w:b w:val="0"/>
                <w:sz w:val="15"/>
              </w:rPr>
              <w:t xml:space="preserve">   Asian</w:t>
            </w:r>
          </w:p>
        </w:tc>
        <w:tc>
          <w:tcPr>
            <w:tcW w:type="dxa" w:w="1584"/>
          </w:tcPr>
          <w:p>
            <w:pPr>
              <w:spacing w:after="0" w:line="240" w:lineRule="auto"/>
              <w:jc w:val="center"/>
            </w:pPr>
            <w:r/>
            <w:r>
              <w:rPr>
                <w:b w:val="0"/>
                <w:sz w:val="15"/>
              </w:rPr>
              <w:t>1.06 (0.95 to 1.17)</w:t>
            </w:r>
          </w:p>
        </w:tc>
        <w:tc>
          <w:tcPr>
            <w:tcW w:type="dxa" w:w="1584"/>
          </w:tcPr>
          <w:p>
            <w:pPr>
              <w:spacing w:after="0" w:line="240" w:lineRule="auto"/>
              <w:jc w:val="center"/>
            </w:pPr>
            <w:r/>
            <w:r>
              <w:rPr>
                <w:b w:val="0"/>
                <w:sz w:val="15"/>
              </w:rPr>
              <w:t>1.09 (0.97 to 1.19)</w:t>
            </w:r>
          </w:p>
        </w:tc>
        <w:tc>
          <w:tcPr>
            <w:tcW w:type="dxa" w:w="1584"/>
          </w:tcPr>
          <w:p>
            <w:pPr>
              <w:spacing w:after="0" w:line="240" w:lineRule="auto"/>
              <w:jc w:val="center"/>
            </w:pPr>
            <w:r/>
            <w:r>
              <w:rPr>
                <w:b w:val="0"/>
                <w:sz w:val="15"/>
              </w:rPr>
              <w:t>1.07 (0.96 to 1.17)</w:t>
            </w:r>
          </w:p>
        </w:tc>
        <w:tc>
          <w:tcPr>
            <w:tcW w:type="dxa" w:w="1584"/>
          </w:tcPr>
          <w:p>
            <w:pPr>
              <w:spacing w:after="0" w:line="240" w:lineRule="auto"/>
              <w:jc w:val="center"/>
            </w:pPr>
            <w:r/>
            <w:r>
              <w:rPr>
                <w:b w:val="0"/>
                <w:sz w:val="15"/>
              </w:rPr>
              <w:t>−0.002 (−0.025 to +0.019)</w:t>
            </w:r>
          </w:p>
        </w:tc>
        <w:tc>
          <w:tcPr>
            <w:tcW w:type="dxa" w:w="1584"/>
          </w:tcPr>
          <w:p>
            <w:pPr>
              <w:spacing w:after="0" w:line="240" w:lineRule="auto"/>
              <w:jc w:val="center"/>
            </w:pPr>
            <w:r/>
            <w:r>
              <w:rPr>
                <w:b w:val="0"/>
                <w:sz w:val="15"/>
              </w:rPr>
              <w:t>−0.017 (−0.041 to +0.006)</w:t>
            </w:r>
          </w:p>
        </w:tc>
      </w:tr>
      <w:tr>
        <w:trPr>
          <w:cantSplit w:val="true"/>
        </w:trPr>
        <w:tc>
          <w:tcPr>
            <w:tcW w:type="dxa" w:w="1440"/>
          </w:tcPr>
          <w:p>
            <w:pPr>
              <w:spacing w:after="0" w:line="240" w:lineRule="auto"/>
            </w:pPr>
            <w:r/>
            <w:r>
              <w:rPr>
                <w:b w:val="0"/>
                <w:sz w:val="15"/>
              </w:rPr>
              <w:t xml:space="preserve">   Other</w:t>
            </w:r>
          </w:p>
        </w:tc>
        <w:tc>
          <w:tcPr>
            <w:tcW w:type="dxa" w:w="1584"/>
          </w:tcPr>
          <w:p>
            <w:pPr>
              <w:spacing w:after="0" w:line="240" w:lineRule="auto"/>
              <w:jc w:val="center"/>
            </w:pPr>
            <w:r/>
            <w:r>
              <w:rPr>
                <w:b w:val="0"/>
                <w:sz w:val="15"/>
              </w:rPr>
              <w:t>0.91 (0.83 to 0.99)</w:t>
            </w:r>
          </w:p>
        </w:tc>
        <w:tc>
          <w:tcPr>
            <w:tcW w:type="dxa" w:w="1584"/>
          </w:tcPr>
          <w:p>
            <w:pPr>
              <w:spacing w:after="0" w:line="240" w:lineRule="auto"/>
              <w:jc w:val="center"/>
            </w:pPr>
            <w:r/>
            <w:r>
              <w:rPr>
                <w:b w:val="0"/>
                <w:sz w:val="15"/>
              </w:rPr>
              <w:t>0.90 (0.83 to 0.99)</w:t>
            </w:r>
          </w:p>
        </w:tc>
        <w:tc>
          <w:tcPr>
            <w:tcW w:type="dxa" w:w="1584"/>
          </w:tcPr>
          <w:p>
            <w:pPr>
              <w:spacing w:after="0" w:line="240" w:lineRule="auto"/>
              <w:jc w:val="center"/>
            </w:pPr>
            <w:r/>
            <w:r>
              <w:rPr>
                <w:b w:val="0"/>
                <w:sz w:val="15"/>
              </w:rPr>
              <w:t>0.90 (0.83 to 0.98)</w:t>
            </w:r>
          </w:p>
        </w:tc>
        <w:tc>
          <w:tcPr>
            <w:tcW w:type="dxa" w:w="1584"/>
          </w:tcPr>
          <w:p>
            <w:pPr>
              <w:spacing w:after="0" w:line="240" w:lineRule="auto"/>
              <w:jc w:val="center"/>
            </w:pPr>
            <w:r/>
            <w:r>
              <w:rPr>
                <w:b w:val="0"/>
                <w:sz w:val="15"/>
              </w:rPr>
              <w:t>−0.016 (−0.036 to +0.004)</w:t>
            </w:r>
          </w:p>
        </w:tc>
        <w:tc>
          <w:tcPr>
            <w:tcW w:type="dxa" w:w="1584"/>
          </w:tcPr>
          <w:p>
            <w:pPr>
              <w:spacing w:after="0" w:line="240" w:lineRule="auto"/>
              <w:jc w:val="center"/>
            </w:pPr>
            <w:r/>
            <w:r>
              <w:rPr>
                <w:b w:val="0"/>
                <w:sz w:val="15"/>
              </w:rPr>
              <w:t>−0.005 (−0.027 to +0.015)</w:t>
            </w:r>
          </w:p>
        </w:tc>
      </w:tr>
      <w:tr>
        <w:trPr>
          <w:cantSplit w:val="true"/>
        </w:trPr>
        <w:tc>
          <w:tcPr>
            <w:tcW w:type="dxa" w:w="1440"/>
            <w:shd w:val="clear" w:color="auto" w:fill="F2F2F2"/>
          </w:tcPr>
          <w:p>
            <w:pPr>
              <w:spacing w:after="0" w:line="240" w:lineRule="auto"/>
            </w:pPr>
            <w:r/>
            <w:r>
              <w:rPr>
                <w:b/>
                <w:sz w:val="15"/>
              </w:rPr>
              <w:t>Insurance</w:t>
            </w:r>
          </w:p>
        </w:tc>
        <w:tc>
          <w:tcPr>
            <w:tcW w:type="dxa" w:w="1584"/>
            <w:shd w:val="clear" w:color="auto" w:fill="F2F2F2"/>
          </w:tcPr>
          <w:p>
            <w:pPr>
              <w:spacing w:after="0" w:line="240" w:lineRule="auto"/>
            </w:pPr>
            <w:r/>
            <w:r>
              <w:rPr>
                <w:b/>
                <w:sz w:val="15"/>
              </w:rPr>
            </w:r>
          </w:p>
        </w:tc>
        <w:tc>
          <w:tcPr>
            <w:tcW w:type="dxa" w:w="1584"/>
            <w:shd w:val="clear" w:color="auto" w:fill="F2F2F2"/>
          </w:tcPr>
          <w:p>
            <w:pPr>
              <w:spacing w:after="0" w:line="240" w:lineRule="auto"/>
            </w:pPr>
            <w:r/>
            <w:r>
              <w:rPr>
                <w:b/>
                <w:sz w:val="15"/>
              </w:rPr>
            </w:r>
          </w:p>
        </w:tc>
        <w:tc>
          <w:tcPr>
            <w:tcW w:type="dxa" w:w="1584"/>
            <w:shd w:val="clear" w:color="auto" w:fill="F2F2F2"/>
          </w:tcPr>
          <w:p>
            <w:pPr>
              <w:spacing w:after="0" w:line="240" w:lineRule="auto"/>
            </w:pPr>
            <w:r/>
            <w:r>
              <w:rPr>
                <w:b/>
                <w:sz w:val="15"/>
              </w:rPr>
            </w:r>
          </w:p>
        </w:tc>
        <w:tc>
          <w:tcPr>
            <w:tcW w:type="dxa" w:w="1584"/>
            <w:shd w:val="clear" w:color="auto" w:fill="F2F2F2"/>
          </w:tcPr>
          <w:p>
            <w:pPr>
              <w:spacing w:after="0" w:line="240" w:lineRule="auto"/>
            </w:pPr>
            <w:r/>
            <w:r>
              <w:rPr>
                <w:b/>
                <w:sz w:val="15"/>
              </w:rPr>
            </w:r>
          </w:p>
        </w:tc>
        <w:tc>
          <w:tcPr>
            <w:tcW w:type="dxa" w:w="1584"/>
            <w:shd w:val="clear" w:color="auto" w:fill="F2F2F2"/>
          </w:tcPr>
          <w:p>
            <w:pPr>
              <w:spacing w:after="0" w:line="240" w:lineRule="auto"/>
            </w:pPr>
            <w:r/>
            <w:r>
              <w:rPr>
                <w:b/>
                <w:sz w:val="15"/>
              </w:rPr>
            </w:r>
          </w:p>
        </w:tc>
      </w:tr>
      <w:tr>
        <w:trPr>
          <w:cantSplit w:val="true"/>
        </w:trPr>
        <w:tc>
          <w:tcPr>
            <w:tcW w:type="dxa" w:w="1440"/>
          </w:tcPr>
          <w:p>
            <w:pPr>
              <w:spacing w:after="0" w:line="240" w:lineRule="auto"/>
            </w:pPr>
            <w:r/>
            <w:r>
              <w:rPr>
                <w:b w:val="0"/>
                <w:sz w:val="15"/>
              </w:rPr>
              <w:t xml:space="preserve">   Medicare*</w:t>
            </w:r>
          </w:p>
        </w:tc>
        <w:tc>
          <w:tcPr>
            <w:tcW w:type="dxa" w:w="1584"/>
          </w:tcPr>
          <w:p>
            <w:pPr>
              <w:spacing w:after="0" w:line="240" w:lineRule="auto"/>
              <w:jc w:val="center"/>
            </w:pPr>
            <w:r/>
            <w:r>
              <w:rPr>
                <w:b w:val="0"/>
                <w:sz w:val="15"/>
              </w:rPr>
              <w:t>1.15 (1.13 to 1.16)</w:t>
            </w:r>
          </w:p>
        </w:tc>
        <w:tc>
          <w:tcPr>
            <w:tcW w:type="dxa" w:w="1584"/>
          </w:tcPr>
          <w:p>
            <w:pPr>
              <w:spacing w:after="0" w:line="240" w:lineRule="auto"/>
              <w:jc w:val="center"/>
            </w:pPr>
            <w:r/>
            <w:r>
              <w:rPr>
                <w:b w:val="0"/>
                <w:sz w:val="15"/>
              </w:rPr>
              <w:t>1.16 (1.15 to 1.18)</w:t>
            </w:r>
          </w:p>
        </w:tc>
        <w:tc>
          <w:tcPr>
            <w:tcW w:type="dxa" w:w="1584"/>
          </w:tcPr>
          <w:p>
            <w:pPr>
              <w:spacing w:after="0" w:line="240" w:lineRule="auto"/>
              <w:jc w:val="center"/>
            </w:pPr>
            <w:r/>
            <w:r>
              <w:rPr>
                <w:b w:val="0"/>
                <w:sz w:val="15"/>
              </w:rPr>
              <w:t>1.16 (1.14 to 1.17)</w:t>
            </w:r>
          </w:p>
        </w:tc>
        <w:tc>
          <w:tcPr>
            <w:tcW w:type="dxa" w:w="1584"/>
          </w:tcPr>
          <w:p>
            <w:pPr>
              <w:spacing w:after="0" w:line="240" w:lineRule="auto"/>
              <w:jc w:val="center"/>
            </w:pPr>
            <w:r/>
            <w:r>
              <w:rPr>
                <w:b w:val="0"/>
                <w:sz w:val="15"/>
              </w:rPr>
              <w:t>reference</w:t>
            </w:r>
          </w:p>
        </w:tc>
        <w:tc>
          <w:tcPr>
            <w:tcW w:type="dxa" w:w="1584"/>
          </w:tcPr>
          <w:p>
            <w:pPr>
              <w:spacing w:after="0" w:line="240" w:lineRule="auto"/>
              <w:jc w:val="center"/>
            </w:pPr>
            <w:r/>
            <w:r>
              <w:rPr>
                <w:b w:val="0"/>
                <w:sz w:val="15"/>
              </w:rPr>
              <w:t>reference</w:t>
            </w:r>
          </w:p>
        </w:tc>
      </w:tr>
      <w:tr>
        <w:trPr>
          <w:cantSplit w:val="true"/>
        </w:trPr>
        <w:tc>
          <w:tcPr>
            <w:tcW w:type="dxa" w:w="1440"/>
          </w:tcPr>
          <w:p>
            <w:pPr>
              <w:spacing w:after="0" w:line="240" w:lineRule="auto"/>
            </w:pPr>
            <w:r/>
            <w:r>
              <w:rPr>
                <w:b w:val="0"/>
                <w:sz w:val="15"/>
              </w:rPr>
              <w:t xml:space="preserve">   Medicaid</w:t>
            </w:r>
          </w:p>
        </w:tc>
        <w:tc>
          <w:tcPr>
            <w:tcW w:type="dxa" w:w="1584"/>
          </w:tcPr>
          <w:p>
            <w:pPr>
              <w:spacing w:after="0" w:line="240" w:lineRule="auto"/>
              <w:jc w:val="center"/>
            </w:pPr>
            <w:r/>
            <w:r>
              <w:rPr>
                <w:b w:val="0"/>
                <w:sz w:val="15"/>
              </w:rPr>
              <w:t>0.80 (0.76 to 0.83)</w:t>
            </w:r>
          </w:p>
        </w:tc>
        <w:tc>
          <w:tcPr>
            <w:tcW w:type="dxa" w:w="1584"/>
          </w:tcPr>
          <w:p>
            <w:pPr>
              <w:spacing w:after="0" w:line="240" w:lineRule="auto"/>
              <w:jc w:val="center"/>
            </w:pPr>
            <w:r/>
            <w:r>
              <w:rPr>
                <w:b w:val="0"/>
                <w:sz w:val="15"/>
              </w:rPr>
              <w:t>0.80 (0.76 to 0.84)</w:t>
            </w:r>
          </w:p>
        </w:tc>
        <w:tc>
          <w:tcPr>
            <w:tcW w:type="dxa" w:w="1584"/>
          </w:tcPr>
          <w:p>
            <w:pPr>
              <w:spacing w:after="0" w:line="240" w:lineRule="auto"/>
              <w:jc w:val="center"/>
            </w:pPr>
            <w:r/>
            <w:r>
              <w:rPr>
                <w:b w:val="0"/>
                <w:sz w:val="15"/>
              </w:rPr>
              <w:t>0.78 (0.74 to 0.82)</w:t>
            </w:r>
          </w:p>
        </w:tc>
        <w:tc>
          <w:tcPr>
            <w:tcW w:type="dxa" w:w="1584"/>
          </w:tcPr>
          <w:p>
            <w:pPr>
              <w:spacing w:after="0" w:line="240" w:lineRule="auto"/>
              <w:jc w:val="center"/>
            </w:pPr>
            <w:r/>
            <w:r>
              <w:rPr>
                <w:b w:val="0"/>
                <w:sz w:val="15"/>
              </w:rPr>
              <w:t>−0.026 (−0.038 to −0.015)</w:t>
            </w:r>
          </w:p>
        </w:tc>
        <w:tc>
          <w:tcPr>
            <w:tcW w:type="dxa" w:w="1584"/>
          </w:tcPr>
          <w:p>
            <w:pPr>
              <w:spacing w:after="0" w:line="240" w:lineRule="auto"/>
              <w:jc w:val="center"/>
            </w:pPr>
            <w:r/>
            <w:r>
              <w:rPr>
                <w:b w:val="0"/>
                <w:sz w:val="15"/>
              </w:rPr>
              <w:t>−0.012 (−0.024 to +0.001)</w:t>
            </w:r>
          </w:p>
        </w:tc>
      </w:tr>
      <w:tr>
        <w:trPr>
          <w:cantSplit w:val="true"/>
        </w:trPr>
        <w:tc>
          <w:tcPr>
            <w:tcW w:type="dxa" w:w="1440"/>
          </w:tcPr>
          <w:p>
            <w:pPr>
              <w:spacing w:after="0" w:line="240" w:lineRule="auto"/>
            </w:pPr>
            <w:r/>
            <w:r>
              <w:rPr>
                <w:b w:val="0"/>
                <w:sz w:val="15"/>
              </w:rPr>
              <w:t xml:space="preserve">   Private</w:t>
            </w:r>
          </w:p>
        </w:tc>
        <w:tc>
          <w:tcPr>
            <w:tcW w:type="dxa" w:w="1584"/>
          </w:tcPr>
          <w:p>
            <w:pPr>
              <w:spacing w:after="0" w:line="240" w:lineRule="auto"/>
              <w:jc w:val="center"/>
            </w:pPr>
            <w:r/>
            <w:r>
              <w:rPr>
                <w:b w:val="0"/>
                <w:sz w:val="15"/>
              </w:rPr>
              <w:t>0.72 (0.69 to 0.75)</w:t>
            </w:r>
          </w:p>
        </w:tc>
        <w:tc>
          <w:tcPr>
            <w:tcW w:type="dxa" w:w="1584"/>
          </w:tcPr>
          <w:p>
            <w:pPr>
              <w:spacing w:after="0" w:line="240" w:lineRule="auto"/>
              <w:jc w:val="center"/>
            </w:pPr>
            <w:r/>
            <w:r>
              <w:rPr>
                <w:b w:val="0"/>
                <w:sz w:val="15"/>
              </w:rPr>
              <w:t>0.70 (0.67 to 0.72)</w:t>
            </w:r>
          </w:p>
        </w:tc>
        <w:tc>
          <w:tcPr>
            <w:tcW w:type="dxa" w:w="1584"/>
          </w:tcPr>
          <w:p>
            <w:pPr>
              <w:spacing w:after="0" w:line="240" w:lineRule="auto"/>
              <w:jc w:val="center"/>
            </w:pPr>
            <w:r/>
            <w:r>
              <w:rPr>
                <w:b w:val="0"/>
                <w:sz w:val="15"/>
              </w:rPr>
              <w:t>0.72 (0.69 to 0.75)</w:t>
            </w:r>
          </w:p>
        </w:tc>
        <w:tc>
          <w:tcPr>
            <w:tcW w:type="dxa" w:w="1584"/>
          </w:tcPr>
          <w:p>
            <w:pPr>
              <w:spacing w:after="0" w:line="240" w:lineRule="auto"/>
              <w:jc w:val="center"/>
            </w:pPr>
            <w:r/>
            <w:r>
              <w:rPr>
                <w:b w:val="0"/>
                <w:sz w:val="15"/>
              </w:rPr>
              <w:t>−0.008 (−0.018 to +0.001)</w:t>
            </w:r>
          </w:p>
        </w:tc>
        <w:tc>
          <w:tcPr>
            <w:tcW w:type="dxa" w:w="1584"/>
          </w:tcPr>
          <w:p>
            <w:pPr>
              <w:spacing w:after="0" w:line="240" w:lineRule="auto"/>
              <w:jc w:val="center"/>
            </w:pPr>
            <w:r/>
            <w:r>
              <w:rPr>
                <w:b w:val="0"/>
                <w:sz w:val="15"/>
              </w:rPr>
              <w:t>+0.039 (+0.029 to +0.048)</w:t>
            </w:r>
          </w:p>
        </w:tc>
      </w:tr>
    </w:tbl>
    <w:p>
      <w:pPr>
        <w:spacing w:after="40"/>
      </w:pPr>
    </w:p>
    <w:p>
      <w:pPr>
        <w:keepNext/>
        <w:jc w:val="center"/>
      </w:pPr>
      <w:r>
        <w:drawing>
          <wp:inline xmlns:a="http://schemas.openxmlformats.org/drawingml/2006/main" xmlns:pic="http://schemas.openxmlformats.org/drawingml/2006/picture">
            <wp:extent cx="5760720" cy="2400300"/>
            <wp:docPr id="5" name="Picture 5"/>
            <wp:cNvGraphicFramePr>
              <a:graphicFrameLocks noChangeAspect="1"/>
            </wp:cNvGraphicFramePr>
            <a:graphic>
              <a:graphicData uri="http://schemas.openxmlformats.org/drawingml/2006/picture">
                <pic:pic>
                  <pic:nvPicPr>
                    <pic:cNvPr id="0" name="fig5_calibration.png"/>
                    <pic:cNvPicPr/>
                  </pic:nvPicPr>
                  <pic:blipFill>
                    <a:blip r:embed="rId14"/>
                    <a:stretch>
                      <a:fillRect/>
                    </a:stretch>
                  </pic:blipFill>
                  <pic:spPr>
                    <a:xfrm>
                      <a:off x="0" y="0"/>
                      <a:ext cx="5760720" cy="2400300"/>
                    </a:xfrm>
                    <a:prstGeom prst="rect"/>
                  </pic:spPr>
                </pic:pic>
              </a:graphicData>
            </a:graphic>
          </wp:inline>
        </w:drawing>
      </w:r>
    </w:p>
    <w:p>
      <w:pPr>
        <w:spacing w:after="160"/>
      </w:pPr>
      <w:r>
        <w:rPr>
          <w:b/>
          <w:sz w:val="19"/>
        </w:rPr>
        <w:t xml:space="preserve">Figure 5. </w:t>
      </w:r>
      <w:r>
        <w:rPr>
          <w:sz w:val="19"/>
        </w:rPr>
        <w:t>Observed in-hospital mortality by score band (Wilson 95% intervals). A: overall, three scores. B: SOFA-2 by insurance group.</w:t>
      </w:r>
    </w:p>
    <w:p>
      <w:pPr>
        <w:keepNext/>
        <w:jc w:val="center"/>
      </w:pPr>
      <w:r>
        <w:drawing>
          <wp:inline xmlns:a="http://schemas.openxmlformats.org/drawingml/2006/main" xmlns:pic="http://schemas.openxmlformats.org/drawingml/2006/picture">
            <wp:extent cx="5760720" cy="2257579"/>
            <wp:docPr id="6" name="Picture 6"/>
            <wp:cNvGraphicFramePr>
              <a:graphicFrameLocks noChangeAspect="1"/>
            </wp:cNvGraphicFramePr>
            <a:graphic>
              <a:graphicData uri="http://schemas.openxmlformats.org/drawingml/2006/picture">
                <pic:pic>
                  <pic:nvPicPr>
                    <pic:cNvPr id="0" name="fig6_decomposition.png"/>
                    <pic:cNvPicPr/>
                  </pic:nvPicPr>
                  <pic:blipFill>
                    <a:blip r:embed="rId15"/>
                    <a:stretch>
                      <a:fillRect/>
                    </a:stretch>
                  </pic:blipFill>
                  <pic:spPr>
                    <a:xfrm>
                      <a:off x="0" y="0"/>
                      <a:ext cx="5760720" cy="2257579"/>
                    </a:xfrm>
                    <a:prstGeom prst="rect"/>
                  </pic:spPr>
                </pic:pic>
              </a:graphicData>
            </a:graphic>
          </wp:inline>
        </w:drawing>
      </w:r>
    </w:p>
    <w:p>
      <w:pPr>
        <w:spacing w:after="160"/>
      </w:pPr>
      <w:r>
        <w:rPr>
          <w:b/>
          <w:sz w:val="19"/>
        </w:rPr>
        <w:t xml:space="preserve">Figure 6. </w:t>
      </w:r>
      <w:r>
        <w:rPr>
          <w:sz w:val="19"/>
        </w:rPr>
        <w:t>Domain decomposition: effect of replacing one SOFA-1 (as charted) domain with its SOFA-2 version. The respiratory (P/F only) row excludes the SpO2/FiO2 fallback (post hoc).</w:t>
      </w:r>
    </w:p>
    <w:p>
      <w:r>
        <w:br w:type="page"/>
      </w:r>
    </w:p>
    <w:p>
      <w:pPr>
        <w:pStyle w:val="Heading1"/>
      </w:pPr>
      <w:r>
        <w:t>Supplementary material</w:t>
      </w:r>
    </w:p>
    <w:p>
      <w:pPr>
        <w:keepNext/>
        <w:spacing w:after="60"/>
      </w:pPr>
      <w:r>
        <w:rPr>
          <w:b/>
          <w:sz w:val="19"/>
        </w:rPr>
        <w:t xml:space="preserve">Supplementary Table S1. </w:t>
      </w:r>
      <w:r>
        <w:rPr>
          <w:sz w:val="19"/>
        </w:rPr>
        <w:t>Sensitivity analyses, in-hospital mortality. Δ = SOFA-2 minus SOFA-1 as charted (headline comparator); gap changes are against the same comparator.</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cantSplit w:val="true"/>
        </w:trPr>
        <w:tc>
          <w:tcPr>
            <w:tcW w:type="dxa" w:w="2376"/>
            <w:shd w:val="clear" w:color="auto" w:fill="D9E2F3"/>
          </w:tcPr>
          <w:p>
            <w:pPr>
              <w:spacing w:after="0" w:line="240" w:lineRule="auto"/>
            </w:pPr>
            <w:r/>
            <w:r>
              <w:rPr>
                <w:b/>
                <w:sz w:val="15"/>
              </w:rPr>
              <w:t>Analysis</w:t>
            </w:r>
          </w:p>
        </w:tc>
        <w:tc>
          <w:tcPr>
            <w:tcW w:type="dxa" w:w="1296"/>
            <w:shd w:val="clear" w:color="auto" w:fill="D9E2F3"/>
          </w:tcPr>
          <w:p>
            <w:pPr>
              <w:spacing w:after="0" w:line="240" w:lineRule="auto"/>
              <w:jc w:val="center"/>
            </w:pPr>
            <w:r/>
            <w:r>
              <w:rPr>
                <w:b/>
                <w:sz w:val="15"/>
              </w:rPr>
              <w:t>n (deaths)</w:t>
            </w:r>
          </w:p>
        </w:tc>
        <w:tc>
          <w:tcPr>
            <w:tcW w:type="dxa" w:w="936"/>
            <w:shd w:val="clear" w:color="auto" w:fill="D9E2F3"/>
          </w:tcPr>
          <w:p>
            <w:pPr>
              <w:spacing w:after="0" w:line="240" w:lineRule="auto"/>
              <w:jc w:val="center"/>
            </w:pPr>
            <w:r/>
            <w:r>
              <w:rPr>
                <w:b/>
                <w:sz w:val="15"/>
              </w:rPr>
              <w:t>SOFA-2 AUROC</w:t>
            </w:r>
          </w:p>
        </w:tc>
        <w:tc>
          <w:tcPr>
            <w:tcW w:type="dxa" w:w="1872"/>
            <w:shd w:val="clear" w:color="auto" w:fill="D9E2F3"/>
          </w:tcPr>
          <w:p>
            <w:pPr>
              <w:spacing w:after="0" w:line="240" w:lineRule="auto"/>
              <w:jc w:val="center"/>
            </w:pPr>
            <w:r/>
            <w:r>
              <w:rPr>
                <w:b/>
                <w:sz w:val="15"/>
              </w:rPr>
              <w:t>ΔAUROC (95% CI)</w:t>
            </w:r>
          </w:p>
        </w:tc>
        <w:tc>
          <w:tcPr>
            <w:tcW w:type="dxa" w:w="864"/>
            <w:shd w:val="clear" w:color="auto" w:fill="D9E2F3"/>
          </w:tcPr>
          <w:p>
            <w:pPr>
              <w:spacing w:after="0" w:line="240" w:lineRule="auto"/>
              <w:jc w:val="center"/>
            </w:pPr>
            <w:r/>
            <w:r>
              <w:rPr>
                <w:b/>
                <w:sz w:val="15"/>
              </w:rPr>
              <w:t>Δgap M−F</w:t>
            </w:r>
          </w:p>
        </w:tc>
        <w:tc>
          <w:tcPr>
            <w:tcW w:type="dxa" w:w="1080"/>
            <w:shd w:val="clear" w:color="auto" w:fill="D9E2F3"/>
          </w:tcPr>
          <w:p>
            <w:pPr>
              <w:spacing w:after="0" w:line="240" w:lineRule="auto"/>
              <w:jc w:val="center"/>
            </w:pPr>
            <w:r/>
            <w:r>
              <w:rPr>
                <w:b/>
                <w:sz w:val="15"/>
              </w:rPr>
              <w:t>Δgap White−Black</w:t>
            </w:r>
          </w:p>
        </w:tc>
        <w:tc>
          <w:tcPr>
            <w:tcW w:type="dxa" w:w="1368"/>
            <w:shd w:val="clear" w:color="auto" w:fill="D9E2F3"/>
          </w:tcPr>
          <w:p>
            <w:pPr>
              <w:spacing w:after="0" w:line="240" w:lineRule="auto"/>
              <w:jc w:val="center"/>
            </w:pPr>
            <w:r/>
            <w:r>
              <w:rPr>
                <w:b/>
                <w:sz w:val="15"/>
              </w:rPr>
              <w:t>Δgap Medicare−Private</w:t>
            </w:r>
          </w:p>
        </w:tc>
      </w:tr>
      <w:tr>
        <w:trPr>
          <w:cantSplit w:val="true"/>
        </w:trPr>
        <w:tc>
          <w:tcPr>
            <w:tcW w:type="dxa" w:w="2376"/>
          </w:tcPr>
          <w:p>
            <w:pPr>
              <w:spacing w:after="0" w:line="240" w:lineRule="auto"/>
            </w:pPr>
            <w:r/>
            <w:r>
              <w:rPr>
                <w:b w:val="0"/>
                <w:sz w:val="15"/>
              </w:rPr>
              <w:t>Headline (broad sedation, strict window)</w:t>
            </w:r>
          </w:p>
        </w:tc>
        <w:tc>
          <w:tcPr>
            <w:tcW w:type="dxa" w:w="1296"/>
          </w:tcPr>
          <w:p>
            <w:pPr>
              <w:spacing w:after="0" w:line="240" w:lineRule="auto"/>
              <w:jc w:val="center"/>
            </w:pPr>
            <w:r/>
            <w:r>
              <w:rPr>
                <w:b w:val="0"/>
                <w:sz w:val="15"/>
              </w:rPr>
              <w:t>85,228 (9,468)</w:t>
            </w:r>
          </w:p>
        </w:tc>
        <w:tc>
          <w:tcPr>
            <w:tcW w:type="dxa" w:w="936"/>
          </w:tcPr>
          <w:p>
            <w:pPr>
              <w:spacing w:after="0" w:line="240" w:lineRule="auto"/>
              <w:jc w:val="center"/>
            </w:pPr>
            <w:r/>
            <w:r>
              <w:rPr>
                <w:b w:val="0"/>
                <w:sz w:val="15"/>
              </w:rPr>
              <w:t>0.762</w:t>
            </w:r>
          </w:p>
        </w:tc>
        <w:tc>
          <w:tcPr>
            <w:tcW w:type="dxa" w:w="1872"/>
          </w:tcPr>
          <w:p>
            <w:pPr>
              <w:spacing w:after="0" w:line="240" w:lineRule="auto"/>
              <w:jc w:val="center"/>
            </w:pPr>
            <w:r/>
            <w:r>
              <w:rPr>
                <w:b w:val="0"/>
                <w:sz w:val="15"/>
              </w:rPr>
              <w:t>+0.019 (+0.016 to +0.023)</w:t>
            </w:r>
          </w:p>
        </w:tc>
        <w:tc>
          <w:tcPr>
            <w:tcW w:type="dxa" w:w="864"/>
          </w:tcPr>
          <w:p>
            <w:pPr>
              <w:spacing w:after="0" w:line="240" w:lineRule="auto"/>
              <w:jc w:val="center"/>
            </w:pPr>
            <w:r/>
            <w:r>
              <w:rPr>
                <w:b w:val="0"/>
                <w:sz w:val="15"/>
              </w:rPr>
              <w:t>+0.021</w:t>
            </w:r>
          </w:p>
        </w:tc>
        <w:tc>
          <w:tcPr>
            <w:tcW w:type="dxa" w:w="1080"/>
          </w:tcPr>
          <w:p>
            <w:pPr>
              <w:spacing w:after="0" w:line="240" w:lineRule="auto"/>
              <w:jc w:val="center"/>
            </w:pPr>
            <w:r/>
            <w:r>
              <w:rPr>
                <w:b w:val="0"/>
                <w:sz w:val="15"/>
              </w:rPr>
              <w:t>+0.025</w:t>
            </w:r>
          </w:p>
        </w:tc>
        <w:tc>
          <w:tcPr>
            <w:tcW w:type="dxa" w:w="1368"/>
          </w:tcPr>
          <w:p>
            <w:pPr>
              <w:spacing w:after="0" w:line="240" w:lineRule="auto"/>
              <w:jc w:val="center"/>
            </w:pPr>
            <w:r/>
            <w:r>
              <w:rPr>
                <w:b w:val="0"/>
                <w:sz w:val="15"/>
              </w:rPr>
              <w:t>−0.012</w:t>
            </w:r>
          </w:p>
        </w:tc>
      </w:tr>
      <w:tr>
        <w:trPr>
          <w:cantSplit w:val="true"/>
        </w:trPr>
        <w:tc>
          <w:tcPr>
            <w:tcW w:type="dxa" w:w="2376"/>
          </w:tcPr>
          <w:p>
            <w:pPr>
              <w:spacing w:after="0" w:line="240" w:lineRule="auto"/>
            </w:pPr>
            <w:r/>
            <w:r>
              <w:rPr>
                <w:b w:val="0"/>
                <w:sz w:val="15"/>
              </w:rPr>
              <w:t>Infusion-only sedation</w:t>
            </w:r>
          </w:p>
        </w:tc>
        <w:tc>
          <w:tcPr>
            <w:tcW w:type="dxa" w:w="1296"/>
          </w:tcPr>
          <w:p>
            <w:pPr>
              <w:spacing w:after="0" w:line="240" w:lineRule="auto"/>
              <w:jc w:val="center"/>
            </w:pPr>
            <w:r/>
            <w:r>
              <w:rPr>
                <w:b w:val="0"/>
                <w:sz w:val="15"/>
              </w:rPr>
              <w:t>85,228 (9,468)</w:t>
            </w:r>
          </w:p>
        </w:tc>
        <w:tc>
          <w:tcPr>
            <w:tcW w:type="dxa" w:w="936"/>
          </w:tcPr>
          <w:p>
            <w:pPr>
              <w:spacing w:after="0" w:line="240" w:lineRule="auto"/>
              <w:jc w:val="center"/>
            </w:pPr>
            <w:r/>
            <w:r>
              <w:rPr>
                <w:b w:val="0"/>
                <w:sz w:val="15"/>
              </w:rPr>
              <w:t>0.777</w:t>
            </w:r>
          </w:p>
        </w:tc>
        <w:tc>
          <w:tcPr>
            <w:tcW w:type="dxa" w:w="1872"/>
          </w:tcPr>
          <w:p>
            <w:pPr>
              <w:spacing w:after="0" w:line="240" w:lineRule="auto"/>
              <w:jc w:val="center"/>
            </w:pPr>
            <w:r/>
            <w:r>
              <w:rPr>
                <w:b w:val="0"/>
                <w:sz w:val="15"/>
              </w:rPr>
              <w:t>+0.034 (+0.031 to +0.037)</w:t>
            </w:r>
          </w:p>
        </w:tc>
        <w:tc>
          <w:tcPr>
            <w:tcW w:type="dxa" w:w="864"/>
          </w:tcPr>
          <w:p>
            <w:pPr>
              <w:spacing w:after="0" w:line="240" w:lineRule="auto"/>
              <w:jc w:val="center"/>
            </w:pPr>
            <w:r/>
            <w:r>
              <w:rPr>
                <w:b w:val="0"/>
                <w:sz w:val="15"/>
              </w:rPr>
              <w:t>+0.017</w:t>
            </w:r>
          </w:p>
        </w:tc>
        <w:tc>
          <w:tcPr>
            <w:tcW w:type="dxa" w:w="1080"/>
          </w:tcPr>
          <w:p>
            <w:pPr>
              <w:spacing w:after="0" w:line="240" w:lineRule="auto"/>
              <w:jc w:val="center"/>
            </w:pPr>
            <w:r/>
            <w:r>
              <w:rPr>
                <w:b w:val="0"/>
                <w:sz w:val="15"/>
              </w:rPr>
              <w:t>+0.020</w:t>
            </w:r>
          </w:p>
        </w:tc>
        <w:tc>
          <w:tcPr>
            <w:tcW w:type="dxa" w:w="1368"/>
          </w:tcPr>
          <w:p>
            <w:pPr>
              <w:spacing w:after="0" w:line="240" w:lineRule="auto"/>
              <w:jc w:val="center"/>
            </w:pPr>
            <w:r/>
            <w:r>
              <w:rPr>
                <w:b w:val="0"/>
                <w:sz w:val="15"/>
              </w:rPr>
              <w:t>−0.005</w:t>
            </w:r>
          </w:p>
        </w:tc>
      </w:tr>
      <w:tr>
        <w:trPr>
          <w:cantSplit w:val="true"/>
        </w:trPr>
        <w:tc>
          <w:tcPr>
            <w:tcW w:type="dxa" w:w="2376"/>
          </w:tcPr>
          <w:p>
            <w:pPr>
              <w:spacing w:after="0" w:line="240" w:lineRule="auto"/>
            </w:pPr>
            <w:r/>
            <w:r>
              <w:rPr>
                <w:b w:val="0"/>
                <w:sz w:val="15"/>
              </w:rPr>
              <w:t>6-hour pre-admission lookback</w:t>
            </w:r>
          </w:p>
        </w:tc>
        <w:tc>
          <w:tcPr>
            <w:tcW w:type="dxa" w:w="1296"/>
          </w:tcPr>
          <w:p>
            <w:pPr>
              <w:spacing w:after="0" w:line="240" w:lineRule="auto"/>
              <w:jc w:val="center"/>
            </w:pPr>
            <w:r/>
            <w:r>
              <w:rPr>
                <w:b w:val="0"/>
                <w:sz w:val="15"/>
              </w:rPr>
              <w:t>85,228 (9,468)</w:t>
            </w:r>
          </w:p>
        </w:tc>
        <w:tc>
          <w:tcPr>
            <w:tcW w:type="dxa" w:w="936"/>
          </w:tcPr>
          <w:p>
            <w:pPr>
              <w:spacing w:after="0" w:line="240" w:lineRule="auto"/>
              <w:jc w:val="center"/>
            </w:pPr>
            <w:r/>
            <w:r>
              <w:rPr>
                <w:b w:val="0"/>
                <w:sz w:val="15"/>
              </w:rPr>
              <w:t>0.769</w:t>
            </w:r>
          </w:p>
        </w:tc>
        <w:tc>
          <w:tcPr>
            <w:tcW w:type="dxa" w:w="1872"/>
          </w:tcPr>
          <w:p>
            <w:pPr>
              <w:spacing w:after="0" w:line="240" w:lineRule="auto"/>
              <w:jc w:val="center"/>
            </w:pPr>
            <w:r/>
            <w:r>
              <w:rPr>
                <w:b w:val="0"/>
                <w:sz w:val="15"/>
              </w:rPr>
              <w:t>+0.019 (+0.016 to +0.023)</w:t>
            </w:r>
          </w:p>
        </w:tc>
        <w:tc>
          <w:tcPr>
            <w:tcW w:type="dxa" w:w="864"/>
          </w:tcPr>
          <w:p>
            <w:pPr>
              <w:spacing w:after="0" w:line="240" w:lineRule="auto"/>
              <w:jc w:val="center"/>
            </w:pPr>
            <w:r/>
            <w:r>
              <w:rPr>
                <w:b w:val="0"/>
                <w:sz w:val="15"/>
              </w:rPr>
              <w:t>+0.022</w:t>
            </w:r>
          </w:p>
        </w:tc>
        <w:tc>
          <w:tcPr>
            <w:tcW w:type="dxa" w:w="1080"/>
          </w:tcPr>
          <w:p>
            <w:pPr>
              <w:spacing w:after="0" w:line="240" w:lineRule="auto"/>
              <w:jc w:val="center"/>
            </w:pPr>
            <w:r/>
            <w:r>
              <w:rPr>
                <w:b w:val="0"/>
                <w:sz w:val="15"/>
              </w:rPr>
              <w:t>+0.025</w:t>
            </w:r>
          </w:p>
        </w:tc>
        <w:tc>
          <w:tcPr>
            <w:tcW w:type="dxa" w:w="1368"/>
          </w:tcPr>
          <w:p>
            <w:pPr>
              <w:spacing w:after="0" w:line="240" w:lineRule="auto"/>
              <w:jc w:val="center"/>
            </w:pPr>
            <w:r/>
            <w:r>
              <w:rPr>
                <w:b w:val="0"/>
                <w:sz w:val="15"/>
              </w:rPr>
              <w:t>−0.012</w:t>
            </w:r>
          </w:p>
        </w:tc>
      </w:tr>
      <w:tr>
        <w:trPr>
          <w:cantSplit w:val="true"/>
        </w:trPr>
        <w:tc>
          <w:tcPr>
            <w:tcW w:type="dxa" w:w="2376"/>
          </w:tcPr>
          <w:p>
            <w:pPr>
              <w:spacing w:after="0" w:line="240" w:lineRule="auto"/>
            </w:pPr>
            <w:r/>
            <w:r>
              <w:rPr>
                <w:b w:val="0"/>
                <w:sz w:val="15"/>
              </w:rPr>
              <w:t>Norepinephrine dose halved</w:t>
            </w:r>
          </w:p>
        </w:tc>
        <w:tc>
          <w:tcPr>
            <w:tcW w:type="dxa" w:w="1296"/>
          </w:tcPr>
          <w:p>
            <w:pPr>
              <w:spacing w:after="0" w:line="240" w:lineRule="auto"/>
              <w:jc w:val="center"/>
            </w:pPr>
            <w:r/>
            <w:r>
              <w:rPr>
                <w:b w:val="0"/>
                <w:sz w:val="15"/>
              </w:rPr>
              <w:t>85,228 (9,468)</w:t>
            </w:r>
          </w:p>
        </w:tc>
        <w:tc>
          <w:tcPr>
            <w:tcW w:type="dxa" w:w="936"/>
          </w:tcPr>
          <w:p>
            <w:pPr>
              <w:spacing w:after="0" w:line="240" w:lineRule="auto"/>
              <w:jc w:val="center"/>
            </w:pPr>
            <w:r/>
            <w:r>
              <w:rPr>
                <w:b w:val="0"/>
                <w:sz w:val="15"/>
              </w:rPr>
              <w:t>0.761</w:t>
            </w:r>
          </w:p>
        </w:tc>
        <w:tc>
          <w:tcPr>
            <w:tcW w:type="dxa" w:w="1872"/>
          </w:tcPr>
          <w:p>
            <w:pPr>
              <w:spacing w:after="0" w:line="240" w:lineRule="auto"/>
              <w:jc w:val="center"/>
            </w:pPr>
            <w:r/>
            <w:r>
              <w:rPr>
                <w:b w:val="0"/>
                <w:sz w:val="15"/>
              </w:rPr>
              <w:t>+0.018 (+0.014 to +0.021)</w:t>
            </w:r>
          </w:p>
        </w:tc>
        <w:tc>
          <w:tcPr>
            <w:tcW w:type="dxa" w:w="864"/>
          </w:tcPr>
          <w:p>
            <w:pPr>
              <w:spacing w:after="0" w:line="240" w:lineRule="auto"/>
              <w:jc w:val="center"/>
            </w:pPr>
            <w:r/>
            <w:r>
              <w:rPr>
                <w:b w:val="0"/>
                <w:sz w:val="15"/>
              </w:rPr>
              <w:t>+0.022</w:t>
            </w:r>
          </w:p>
        </w:tc>
        <w:tc>
          <w:tcPr>
            <w:tcW w:type="dxa" w:w="1080"/>
          </w:tcPr>
          <w:p>
            <w:pPr>
              <w:spacing w:after="0" w:line="240" w:lineRule="auto"/>
              <w:jc w:val="center"/>
            </w:pPr>
            <w:r/>
            <w:r>
              <w:rPr>
                <w:b w:val="0"/>
                <w:sz w:val="15"/>
              </w:rPr>
              <w:t>+0.024</w:t>
            </w:r>
          </w:p>
        </w:tc>
        <w:tc>
          <w:tcPr>
            <w:tcW w:type="dxa" w:w="1368"/>
          </w:tcPr>
          <w:p>
            <w:pPr>
              <w:spacing w:after="0" w:line="240" w:lineRule="auto"/>
              <w:jc w:val="center"/>
            </w:pPr>
            <w:r/>
            <w:r>
              <w:rPr>
                <w:b w:val="0"/>
                <w:sz w:val="15"/>
              </w:rPr>
              <w:t>−0.013</w:t>
            </w:r>
          </w:p>
        </w:tc>
      </w:tr>
      <w:tr>
        <w:trPr>
          <w:cantSplit w:val="true"/>
        </w:trPr>
        <w:tc>
          <w:tcPr>
            <w:tcW w:type="dxa" w:w="2376"/>
          </w:tcPr>
          <w:p>
            <w:pPr>
              <w:spacing w:after="0" w:line="240" w:lineRule="auto"/>
            </w:pPr>
            <w:r/>
            <w:r>
              <w:rPr>
                <w:b w:val="0"/>
                <w:sz w:val="15"/>
              </w:rPr>
              <w:t>Without criteria-based RRT rule</w:t>
            </w:r>
          </w:p>
        </w:tc>
        <w:tc>
          <w:tcPr>
            <w:tcW w:type="dxa" w:w="1296"/>
          </w:tcPr>
          <w:p>
            <w:pPr>
              <w:spacing w:after="0" w:line="240" w:lineRule="auto"/>
              <w:jc w:val="center"/>
            </w:pPr>
            <w:r/>
            <w:r>
              <w:rPr>
                <w:b w:val="0"/>
                <w:sz w:val="15"/>
              </w:rPr>
              <w:t>85,228 (9,468)</w:t>
            </w:r>
          </w:p>
        </w:tc>
        <w:tc>
          <w:tcPr>
            <w:tcW w:type="dxa" w:w="936"/>
          </w:tcPr>
          <w:p>
            <w:pPr>
              <w:spacing w:after="0" w:line="240" w:lineRule="auto"/>
              <w:jc w:val="center"/>
            </w:pPr>
            <w:r/>
            <w:r>
              <w:rPr>
                <w:b w:val="0"/>
                <w:sz w:val="15"/>
              </w:rPr>
              <w:t>0.760</w:t>
            </w:r>
          </w:p>
        </w:tc>
        <w:tc>
          <w:tcPr>
            <w:tcW w:type="dxa" w:w="1872"/>
          </w:tcPr>
          <w:p>
            <w:pPr>
              <w:spacing w:after="0" w:line="240" w:lineRule="auto"/>
              <w:jc w:val="center"/>
            </w:pPr>
            <w:r/>
            <w:r>
              <w:rPr>
                <w:b w:val="0"/>
                <w:sz w:val="15"/>
              </w:rPr>
              <w:t>+0.017 (+0.014 to +0.021)</w:t>
            </w:r>
          </w:p>
        </w:tc>
        <w:tc>
          <w:tcPr>
            <w:tcW w:type="dxa" w:w="864"/>
          </w:tcPr>
          <w:p>
            <w:pPr>
              <w:spacing w:after="0" w:line="240" w:lineRule="auto"/>
              <w:jc w:val="center"/>
            </w:pPr>
            <w:r/>
            <w:r>
              <w:rPr>
                <w:b w:val="0"/>
                <w:sz w:val="15"/>
              </w:rPr>
              <w:t>+0.021</w:t>
            </w:r>
          </w:p>
        </w:tc>
        <w:tc>
          <w:tcPr>
            <w:tcW w:type="dxa" w:w="1080"/>
          </w:tcPr>
          <w:p>
            <w:pPr>
              <w:spacing w:after="0" w:line="240" w:lineRule="auto"/>
              <w:jc w:val="center"/>
            </w:pPr>
            <w:r/>
            <w:r>
              <w:rPr>
                <w:b w:val="0"/>
                <w:sz w:val="15"/>
              </w:rPr>
              <w:t>+0.024</w:t>
            </w:r>
          </w:p>
        </w:tc>
        <w:tc>
          <w:tcPr>
            <w:tcW w:type="dxa" w:w="1368"/>
          </w:tcPr>
          <w:p>
            <w:pPr>
              <w:spacing w:after="0" w:line="240" w:lineRule="auto"/>
              <w:jc w:val="center"/>
            </w:pPr>
            <w:r/>
            <w:r>
              <w:rPr>
                <w:b w:val="0"/>
                <w:sz w:val="15"/>
              </w:rPr>
              <w:t>−0.013</w:t>
            </w:r>
          </w:p>
        </w:tc>
      </w:tr>
      <w:tr>
        <w:trPr>
          <w:cantSplit w:val="true"/>
        </w:trPr>
        <w:tc>
          <w:tcPr>
            <w:tcW w:type="dxa" w:w="2376"/>
          </w:tcPr>
          <w:p>
            <w:pPr>
              <w:spacing w:after="0" w:line="240" w:lineRule="auto"/>
            </w:pPr>
            <w:r/>
            <w:r>
              <w:rPr>
                <w:b w:val="0"/>
                <w:sz w:val="15"/>
              </w:rPr>
              <w:t>Complete-case stays</w:t>
            </w:r>
          </w:p>
        </w:tc>
        <w:tc>
          <w:tcPr>
            <w:tcW w:type="dxa" w:w="1296"/>
          </w:tcPr>
          <w:p>
            <w:pPr>
              <w:spacing w:after="0" w:line="240" w:lineRule="auto"/>
              <w:jc w:val="center"/>
            </w:pPr>
            <w:r/>
            <w:r>
              <w:rPr>
                <w:b w:val="0"/>
                <w:sz w:val="15"/>
              </w:rPr>
              <w:t>11,488 (3,282)</w:t>
            </w:r>
          </w:p>
        </w:tc>
        <w:tc>
          <w:tcPr>
            <w:tcW w:type="dxa" w:w="936"/>
          </w:tcPr>
          <w:p>
            <w:pPr>
              <w:spacing w:after="0" w:line="240" w:lineRule="auto"/>
              <w:jc w:val="center"/>
            </w:pPr>
            <w:r/>
            <w:r>
              <w:rPr>
                <w:b w:val="0"/>
                <w:sz w:val="15"/>
              </w:rPr>
              <w:t>0.717</w:t>
            </w:r>
          </w:p>
        </w:tc>
        <w:tc>
          <w:tcPr>
            <w:tcW w:type="dxa" w:w="1872"/>
          </w:tcPr>
          <w:p>
            <w:pPr>
              <w:spacing w:after="0" w:line="240" w:lineRule="auto"/>
              <w:jc w:val="center"/>
            </w:pPr>
            <w:r/>
            <w:r>
              <w:rPr>
                <w:b w:val="0"/>
                <w:sz w:val="15"/>
              </w:rPr>
              <w:t>+0.010 (+0.002 to +0.016)</w:t>
            </w:r>
          </w:p>
        </w:tc>
        <w:tc>
          <w:tcPr>
            <w:tcW w:type="dxa" w:w="864"/>
          </w:tcPr>
          <w:p>
            <w:pPr>
              <w:spacing w:after="0" w:line="240" w:lineRule="auto"/>
              <w:jc w:val="center"/>
            </w:pPr>
            <w:r/>
            <w:r>
              <w:rPr>
                <w:b w:val="0"/>
                <w:sz w:val="15"/>
              </w:rPr>
              <w:t>+0.011</w:t>
            </w:r>
          </w:p>
        </w:tc>
        <w:tc>
          <w:tcPr>
            <w:tcW w:type="dxa" w:w="1080"/>
          </w:tcPr>
          <w:p>
            <w:pPr>
              <w:spacing w:after="0" w:line="240" w:lineRule="auto"/>
              <w:jc w:val="center"/>
            </w:pPr>
            <w:r/>
            <w:r>
              <w:rPr>
                <w:b w:val="0"/>
                <w:sz w:val="15"/>
              </w:rPr>
              <w:t>+0.005</w:t>
            </w:r>
          </w:p>
        </w:tc>
        <w:tc>
          <w:tcPr>
            <w:tcW w:type="dxa" w:w="1368"/>
          </w:tcPr>
          <w:p>
            <w:pPr>
              <w:spacing w:after="0" w:line="240" w:lineRule="auto"/>
              <w:jc w:val="center"/>
            </w:pPr>
            <w:r/>
            <w:r>
              <w:rPr>
                <w:b w:val="0"/>
                <w:sz w:val="15"/>
              </w:rPr>
              <w:t>−0.018</w:t>
            </w:r>
          </w:p>
        </w:tc>
      </w:tr>
      <w:tr>
        <w:trPr>
          <w:cantSplit w:val="true"/>
        </w:trPr>
        <w:tc>
          <w:tcPr>
            <w:tcW w:type="dxa" w:w="2376"/>
          </w:tcPr>
          <w:p>
            <w:pPr>
              <w:spacing w:after="0" w:line="240" w:lineRule="auto"/>
            </w:pPr>
            <w:r/>
            <w:r>
              <w:rPr>
                <w:b w:val="0"/>
                <w:sz w:val="15"/>
              </w:rPr>
              <w:t>Age under 65</w:t>
            </w:r>
          </w:p>
        </w:tc>
        <w:tc>
          <w:tcPr>
            <w:tcW w:type="dxa" w:w="1296"/>
          </w:tcPr>
          <w:p>
            <w:pPr>
              <w:spacing w:after="0" w:line="240" w:lineRule="auto"/>
              <w:jc w:val="center"/>
            </w:pPr>
            <w:r/>
            <w:r>
              <w:rPr>
                <w:b w:val="0"/>
                <w:sz w:val="15"/>
              </w:rPr>
              <w:t>38,662 (2,978)</w:t>
            </w:r>
          </w:p>
        </w:tc>
        <w:tc>
          <w:tcPr>
            <w:tcW w:type="dxa" w:w="936"/>
          </w:tcPr>
          <w:p>
            <w:pPr>
              <w:spacing w:after="0" w:line="240" w:lineRule="auto"/>
              <w:jc w:val="center"/>
            </w:pPr>
            <w:r/>
            <w:r>
              <w:rPr>
                <w:b w:val="0"/>
                <w:sz w:val="15"/>
              </w:rPr>
              <w:t>0.812</w:t>
            </w:r>
          </w:p>
        </w:tc>
        <w:tc>
          <w:tcPr>
            <w:tcW w:type="dxa" w:w="1872"/>
          </w:tcPr>
          <w:p>
            <w:pPr>
              <w:spacing w:after="0" w:line="240" w:lineRule="auto"/>
              <w:jc w:val="center"/>
            </w:pPr>
            <w:r/>
            <w:r>
              <w:rPr>
                <w:b w:val="0"/>
                <w:sz w:val="15"/>
              </w:rPr>
              <w:t>+0.016 (+0.011 to +0.022)</w:t>
            </w:r>
          </w:p>
        </w:tc>
        <w:tc>
          <w:tcPr>
            <w:tcW w:type="dxa" w:w="864"/>
          </w:tcPr>
          <w:p>
            <w:pPr>
              <w:spacing w:after="0" w:line="240" w:lineRule="auto"/>
              <w:jc w:val="center"/>
            </w:pPr>
            <w:r/>
            <w:r>
              <w:rPr>
                <w:b w:val="0"/>
                <w:sz w:val="15"/>
              </w:rPr>
              <w:t>+0.014</w:t>
            </w:r>
          </w:p>
        </w:tc>
        <w:tc>
          <w:tcPr>
            <w:tcW w:type="dxa" w:w="1080"/>
          </w:tcPr>
          <w:p>
            <w:pPr>
              <w:spacing w:after="0" w:line="240" w:lineRule="auto"/>
              <w:jc w:val="center"/>
            </w:pPr>
            <w:r/>
            <w:r>
              <w:rPr>
                <w:b w:val="0"/>
                <w:sz w:val="15"/>
              </w:rPr>
              <w:t>+0.009</w:t>
            </w:r>
          </w:p>
        </w:tc>
        <w:tc>
          <w:tcPr>
            <w:tcW w:type="dxa" w:w="1368"/>
          </w:tcPr>
          <w:p>
            <w:pPr>
              <w:spacing w:after="0" w:line="240" w:lineRule="auto"/>
              <w:jc w:val="center"/>
            </w:pPr>
            <w:r/>
            <w:r>
              <w:rPr>
                <w:b w:val="0"/>
                <w:sz w:val="15"/>
              </w:rPr>
              <w:t>−0.016</w:t>
            </w:r>
          </w:p>
        </w:tc>
      </w:tr>
    </w:tbl>
    <w:p>
      <w:pPr>
        <w:spacing w:after="40"/>
      </w:pPr>
    </w:p>
    <w:p>
      <w:pPr>
        <w:keepNext/>
        <w:spacing w:after="60"/>
      </w:pPr>
      <w:r>
        <w:rPr>
          <w:b/>
          <w:sz w:val="19"/>
        </w:rPr>
        <w:t xml:space="preserve">Supplementary Table S2. </w:t>
      </w:r>
      <w:r>
        <w:rPr>
          <w:sz w:val="19"/>
        </w:rPr>
        <w:t>Analyses within first care unit, in-hospital mortality. AUROC for SOFA-1 community / SOFA-1 as charted / SOFA-2; Δ = SOFA-2 minus SOFA-1 as charted; gap changes against SOFA-1 as charted.</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val="true"/>
        </w:trPr>
        <w:tc>
          <w:tcPr>
            <w:tcW w:type="dxa" w:w="2088"/>
            <w:shd w:val="clear" w:color="auto" w:fill="D9E2F3"/>
          </w:tcPr>
          <w:p>
            <w:pPr>
              <w:spacing w:after="0" w:line="240" w:lineRule="auto"/>
            </w:pPr>
            <w:r/>
            <w:r>
              <w:rPr>
                <w:b/>
                <w:sz w:val="15"/>
              </w:rPr>
              <w:t>Care unit</w:t>
            </w:r>
          </w:p>
        </w:tc>
        <w:tc>
          <w:tcPr>
            <w:tcW w:type="dxa" w:w="1296"/>
            <w:shd w:val="clear" w:color="auto" w:fill="D9E2F3"/>
          </w:tcPr>
          <w:p>
            <w:pPr>
              <w:spacing w:after="0" w:line="240" w:lineRule="auto"/>
              <w:jc w:val="center"/>
            </w:pPr>
            <w:r/>
            <w:r>
              <w:rPr>
                <w:b/>
                <w:sz w:val="15"/>
              </w:rPr>
              <w:t>n (deaths)</w:t>
            </w:r>
          </w:p>
        </w:tc>
        <w:tc>
          <w:tcPr>
            <w:tcW w:type="dxa" w:w="1944"/>
            <w:shd w:val="clear" w:color="auto" w:fill="D9E2F3"/>
          </w:tcPr>
          <w:p>
            <w:pPr>
              <w:spacing w:after="0" w:line="240" w:lineRule="auto"/>
              <w:jc w:val="center"/>
            </w:pPr>
            <w:r/>
            <w:r>
              <w:rPr>
                <w:b/>
                <w:sz w:val="15"/>
              </w:rPr>
              <w:t>AUROC (3 scores)</w:t>
            </w:r>
          </w:p>
        </w:tc>
        <w:tc>
          <w:tcPr>
            <w:tcW w:type="dxa" w:w="1584"/>
            <w:shd w:val="clear" w:color="auto" w:fill="D9E2F3"/>
          </w:tcPr>
          <w:p>
            <w:pPr>
              <w:spacing w:after="0" w:line="240" w:lineRule="auto"/>
              <w:jc w:val="center"/>
            </w:pPr>
            <w:r/>
            <w:r>
              <w:rPr>
                <w:b/>
                <w:sz w:val="15"/>
              </w:rPr>
              <w:t>ΔAUROC (95% CI)</w:t>
            </w:r>
          </w:p>
        </w:tc>
        <w:tc>
          <w:tcPr>
            <w:tcW w:type="dxa" w:w="1656"/>
            <w:shd w:val="clear" w:color="auto" w:fill="D9E2F3"/>
          </w:tcPr>
          <w:p>
            <w:pPr>
              <w:spacing w:after="0" w:line="240" w:lineRule="auto"/>
              <w:jc w:val="center"/>
            </w:pPr>
            <w:r/>
            <w:r>
              <w:rPr>
                <w:b/>
                <w:sz w:val="15"/>
              </w:rPr>
              <w:t>Δgap male−female</w:t>
            </w:r>
          </w:p>
        </w:tc>
        <w:tc>
          <w:tcPr>
            <w:tcW w:type="dxa" w:w="1656"/>
            <w:shd w:val="clear" w:color="auto" w:fill="D9E2F3"/>
          </w:tcPr>
          <w:p>
            <w:pPr>
              <w:spacing w:after="0" w:line="240" w:lineRule="auto"/>
              <w:jc w:val="center"/>
            </w:pPr>
            <w:r/>
            <w:r>
              <w:rPr>
                <w:b/>
                <w:sz w:val="15"/>
              </w:rPr>
              <w:t>Δgap White−Black</w:t>
            </w:r>
          </w:p>
        </w:tc>
      </w:tr>
      <w:tr>
        <w:trPr>
          <w:cantSplit w:val="true"/>
        </w:trPr>
        <w:tc>
          <w:tcPr>
            <w:tcW w:type="dxa" w:w="2088"/>
          </w:tcPr>
          <w:p>
            <w:pPr>
              <w:spacing w:after="0" w:line="240" w:lineRule="auto"/>
            </w:pPr>
            <w:r/>
            <w:r>
              <w:rPr>
                <w:b w:val="0"/>
                <w:sz w:val="15"/>
              </w:rPr>
              <w:t>Medical ICU</w:t>
            </w:r>
          </w:p>
        </w:tc>
        <w:tc>
          <w:tcPr>
            <w:tcW w:type="dxa" w:w="1296"/>
          </w:tcPr>
          <w:p>
            <w:pPr>
              <w:spacing w:after="0" w:line="240" w:lineRule="auto"/>
              <w:jc w:val="center"/>
            </w:pPr>
            <w:r/>
            <w:r>
              <w:rPr>
                <w:b w:val="0"/>
                <w:sz w:val="15"/>
              </w:rPr>
              <w:t>18,657 (2,838)</w:t>
            </w:r>
          </w:p>
        </w:tc>
        <w:tc>
          <w:tcPr>
            <w:tcW w:type="dxa" w:w="1944"/>
          </w:tcPr>
          <w:p>
            <w:pPr>
              <w:spacing w:after="0" w:line="240" w:lineRule="auto"/>
              <w:jc w:val="center"/>
            </w:pPr>
            <w:r/>
            <w:r>
              <w:rPr>
                <w:b w:val="0"/>
                <w:sz w:val="15"/>
              </w:rPr>
              <w:t>0.769 / 0.783 / 0.776</w:t>
            </w:r>
          </w:p>
        </w:tc>
        <w:tc>
          <w:tcPr>
            <w:tcW w:type="dxa" w:w="1584"/>
          </w:tcPr>
          <w:p>
            <w:pPr>
              <w:spacing w:after="0" w:line="240" w:lineRule="auto"/>
              <w:jc w:val="center"/>
            </w:pPr>
            <w:r/>
            <w:r>
              <w:rPr>
                <w:b w:val="0"/>
                <w:sz w:val="15"/>
              </w:rPr>
              <w:t>−0.007 (−0.013 to −0.001)</w:t>
            </w:r>
          </w:p>
        </w:tc>
        <w:tc>
          <w:tcPr>
            <w:tcW w:type="dxa" w:w="1656"/>
          </w:tcPr>
          <w:p>
            <w:pPr>
              <w:spacing w:after="0" w:line="240" w:lineRule="auto"/>
              <w:jc w:val="center"/>
            </w:pPr>
            <w:r/>
            <w:r>
              <w:rPr>
                <w:b w:val="0"/>
                <w:sz w:val="15"/>
              </w:rPr>
              <w:t>0.000 (−0.012 to +0.012)</w:t>
            </w:r>
          </w:p>
        </w:tc>
        <w:tc>
          <w:tcPr>
            <w:tcW w:type="dxa" w:w="1656"/>
          </w:tcPr>
          <w:p>
            <w:pPr>
              <w:spacing w:after="0" w:line="240" w:lineRule="auto"/>
              <w:jc w:val="center"/>
            </w:pPr>
            <w:r/>
            <w:r>
              <w:rPr>
                <w:b w:val="0"/>
                <w:sz w:val="15"/>
              </w:rPr>
              <w:t>+0.018 (0.000 to +0.036)</w:t>
            </w:r>
          </w:p>
        </w:tc>
      </w:tr>
      <w:tr>
        <w:trPr>
          <w:cantSplit w:val="true"/>
        </w:trPr>
        <w:tc>
          <w:tcPr>
            <w:tcW w:type="dxa" w:w="2088"/>
          </w:tcPr>
          <w:p>
            <w:pPr>
              <w:spacing w:after="0" w:line="240" w:lineRule="auto"/>
            </w:pPr>
            <w:r/>
            <w:r>
              <w:rPr>
                <w:b w:val="0"/>
                <w:sz w:val="15"/>
              </w:rPr>
              <w:t>Medical/Surgical ICU</w:t>
            </w:r>
          </w:p>
        </w:tc>
        <w:tc>
          <w:tcPr>
            <w:tcW w:type="dxa" w:w="1296"/>
          </w:tcPr>
          <w:p>
            <w:pPr>
              <w:spacing w:after="0" w:line="240" w:lineRule="auto"/>
              <w:jc w:val="center"/>
            </w:pPr>
            <w:r/>
            <w:r>
              <w:rPr>
                <w:b w:val="0"/>
                <w:sz w:val="15"/>
              </w:rPr>
              <w:t>14,087 (1,963)</w:t>
            </w:r>
          </w:p>
        </w:tc>
        <w:tc>
          <w:tcPr>
            <w:tcW w:type="dxa" w:w="1944"/>
          </w:tcPr>
          <w:p>
            <w:pPr>
              <w:spacing w:after="0" w:line="240" w:lineRule="auto"/>
              <w:jc w:val="center"/>
            </w:pPr>
            <w:r/>
            <w:r>
              <w:rPr>
                <w:b w:val="0"/>
                <w:sz w:val="15"/>
              </w:rPr>
              <w:t>0.743 / 0.742 / 0.761</w:t>
            </w:r>
          </w:p>
        </w:tc>
        <w:tc>
          <w:tcPr>
            <w:tcW w:type="dxa" w:w="1584"/>
          </w:tcPr>
          <w:p>
            <w:pPr>
              <w:spacing w:after="0" w:line="240" w:lineRule="auto"/>
              <w:jc w:val="center"/>
            </w:pPr>
            <w:r/>
            <w:r>
              <w:rPr>
                <w:b w:val="0"/>
                <w:sz w:val="15"/>
              </w:rPr>
              <w:t>+0.018 (+0.010 to +0.026)</w:t>
            </w:r>
          </w:p>
        </w:tc>
        <w:tc>
          <w:tcPr>
            <w:tcW w:type="dxa" w:w="1656"/>
          </w:tcPr>
          <w:p>
            <w:pPr>
              <w:spacing w:after="0" w:line="240" w:lineRule="auto"/>
              <w:jc w:val="center"/>
            </w:pPr>
            <w:r/>
            <w:r>
              <w:rPr>
                <w:b w:val="0"/>
                <w:sz w:val="15"/>
              </w:rPr>
              <w:t>+0.010 (−0.006 to +0.026)</w:t>
            </w:r>
          </w:p>
        </w:tc>
        <w:tc>
          <w:tcPr>
            <w:tcW w:type="dxa" w:w="1656"/>
          </w:tcPr>
          <w:p>
            <w:pPr>
              <w:spacing w:after="0" w:line="240" w:lineRule="auto"/>
              <w:jc w:val="center"/>
            </w:pPr>
            <w:r/>
            <w:r>
              <w:rPr>
                <w:b w:val="0"/>
                <w:sz w:val="15"/>
              </w:rPr>
              <w:t>+0.013 (−0.012 to +0.037)</w:t>
            </w:r>
          </w:p>
        </w:tc>
      </w:tr>
      <w:tr>
        <w:trPr>
          <w:cantSplit w:val="true"/>
        </w:trPr>
        <w:tc>
          <w:tcPr>
            <w:tcW w:type="dxa" w:w="2088"/>
          </w:tcPr>
          <w:p>
            <w:pPr>
              <w:spacing w:after="0" w:line="240" w:lineRule="auto"/>
            </w:pPr>
            <w:r/>
            <w:r>
              <w:rPr>
                <w:b w:val="0"/>
                <w:sz w:val="15"/>
              </w:rPr>
              <w:t>Cardiac Vascular ICU</w:t>
            </w:r>
          </w:p>
        </w:tc>
        <w:tc>
          <w:tcPr>
            <w:tcW w:type="dxa" w:w="1296"/>
          </w:tcPr>
          <w:p>
            <w:pPr>
              <w:spacing w:after="0" w:line="240" w:lineRule="auto"/>
              <w:jc w:val="center"/>
            </w:pPr>
            <w:r/>
            <w:r>
              <w:rPr>
                <w:b w:val="0"/>
                <w:sz w:val="15"/>
              </w:rPr>
              <w:t>13,199 (499)</w:t>
            </w:r>
          </w:p>
        </w:tc>
        <w:tc>
          <w:tcPr>
            <w:tcW w:type="dxa" w:w="1944"/>
          </w:tcPr>
          <w:p>
            <w:pPr>
              <w:spacing w:after="0" w:line="240" w:lineRule="auto"/>
              <w:jc w:val="center"/>
            </w:pPr>
            <w:r/>
            <w:r>
              <w:rPr>
                <w:b w:val="0"/>
                <w:sz w:val="15"/>
              </w:rPr>
              <w:t>0.681 / 0.639 / 0.721</w:t>
            </w:r>
          </w:p>
        </w:tc>
        <w:tc>
          <w:tcPr>
            <w:tcW w:type="dxa" w:w="1584"/>
          </w:tcPr>
          <w:p>
            <w:pPr>
              <w:spacing w:after="0" w:line="240" w:lineRule="auto"/>
              <w:jc w:val="center"/>
            </w:pPr>
            <w:r/>
            <w:r>
              <w:rPr>
                <w:b w:val="0"/>
                <w:sz w:val="15"/>
              </w:rPr>
              <w:t>+0.082 (+0.062 to +0.102)</w:t>
            </w:r>
          </w:p>
        </w:tc>
        <w:tc>
          <w:tcPr>
            <w:tcW w:type="dxa" w:w="1656"/>
          </w:tcPr>
          <w:p>
            <w:pPr>
              <w:spacing w:after="0" w:line="240" w:lineRule="auto"/>
              <w:jc w:val="center"/>
            </w:pPr>
            <w:r/>
            <w:r>
              <w:rPr>
                <w:b w:val="0"/>
                <w:sz w:val="15"/>
              </w:rPr>
              <w:t>+0.015 (−0.023 to +0.055)</w:t>
            </w:r>
          </w:p>
        </w:tc>
        <w:tc>
          <w:tcPr>
            <w:tcW w:type="dxa" w:w="1656"/>
          </w:tcPr>
          <w:p>
            <w:pPr>
              <w:spacing w:after="0" w:line="240" w:lineRule="auto"/>
              <w:jc w:val="center"/>
            </w:pPr>
            <w:r/>
            <w:r>
              <w:rPr>
                <w:b w:val="0"/>
                <w:sz w:val="15"/>
              </w:rPr>
              <w:t>+0.002 (−0.064 to +0.062)</w:t>
            </w:r>
          </w:p>
        </w:tc>
      </w:tr>
      <w:tr>
        <w:trPr>
          <w:cantSplit w:val="true"/>
        </w:trPr>
        <w:tc>
          <w:tcPr>
            <w:tcW w:type="dxa" w:w="2088"/>
          </w:tcPr>
          <w:p>
            <w:pPr>
              <w:spacing w:after="0" w:line="240" w:lineRule="auto"/>
            </w:pPr>
            <w:r/>
            <w:r>
              <w:rPr>
                <w:b w:val="0"/>
                <w:sz w:val="15"/>
              </w:rPr>
              <w:t>Surgical ICU</w:t>
            </w:r>
          </w:p>
        </w:tc>
        <w:tc>
          <w:tcPr>
            <w:tcW w:type="dxa" w:w="1296"/>
          </w:tcPr>
          <w:p>
            <w:pPr>
              <w:spacing w:after="0" w:line="240" w:lineRule="auto"/>
              <w:jc w:val="center"/>
            </w:pPr>
            <w:r/>
            <w:r>
              <w:rPr>
                <w:b w:val="0"/>
                <w:sz w:val="15"/>
              </w:rPr>
              <w:t>11,561 (1,301)</w:t>
            </w:r>
          </w:p>
        </w:tc>
        <w:tc>
          <w:tcPr>
            <w:tcW w:type="dxa" w:w="1944"/>
          </w:tcPr>
          <w:p>
            <w:pPr>
              <w:spacing w:after="0" w:line="240" w:lineRule="auto"/>
              <w:jc w:val="center"/>
            </w:pPr>
            <w:r/>
            <w:r>
              <w:rPr>
                <w:b w:val="0"/>
                <w:sz w:val="15"/>
              </w:rPr>
              <w:t>0.687 / 0.758 / 0.751</w:t>
            </w:r>
          </w:p>
        </w:tc>
        <w:tc>
          <w:tcPr>
            <w:tcW w:type="dxa" w:w="1584"/>
          </w:tcPr>
          <w:p>
            <w:pPr>
              <w:spacing w:after="0" w:line="240" w:lineRule="auto"/>
              <w:jc w:val="center"/>
            </w:pPr>
            <w:r/>
            <w:r>
              <w:rPr>
                <w:b w:val="0"/>
                <w:sz w:val="15"/>
              </w:rPr>
              <w:t>−0.007 (−0.016 to +0.002)</w:t>
            </w:r>
          </w:p>
        </w:tc>
        <w:tc>
          <w:tcPr>
            <w:tcW w:type="dxa" w:w="1656"/>
          </w:tcPr>
          <w:p>
            <w:pPr>
              <w:spacing w:after="0" w:line="240" w:lineRule="auto"/>
              <w:jc w:val="center"/>
            </w:pPr>
            <w:r/>
            <w:r>
              <w:rPr>
                <w:b w:val="0"/>
                <w:sz w:val="15"/>
              </w:rPr>
              <w:t>+0.008 (−0.011 to +0.027)</w:t>
            </w:r>
          </w:p>
        </w:tc>
        <w:tc>
          <w:tcPr>
            <w:tcW w:type="dxa" w:w="1656"/>
          </w:tcPr>
          <w:p>
            <w:pPr>
              <w:spacing w:after="0" w:line="240" w:lineRule="auto"/>
              <w:jc w:val="center"/>
            </w:pPr>
            <w:r/>
            <w:r>
              <w:rPr>
                <w:b w:val="0"/>
                <w:sz w:val="15"/>
              </w:rPr>
              <w:t>+0.027 (−0.012 to +0.066)</w:t>
            </w:r>
          </w:p>
        </w:tc>
      </w:tr>
      <w:tr>
        <w:trPr>
          <w:cantSplit w:val="true"/>
        </w:trPr>
        <w:tc>
          <w:tcPr>
            <w:tcW w:type="dxa" w:w="2088"/>
          </w:tcPr>
          <w:p>
            <w:pPr>
              <w:spacing w:after="0" w:line="240" w:lineRule="auto"/>
            </w:pPr>
            <w:r/>
            <w:r>
              <w:rPr>
                <w:b w:val="0"/>
                <w:sz w:val="15"/>
              </w:rPr>
              <w:t>Coronary Care Unit</w:t>
            </w:r>
          </w:p>
        </w:tc>
        <w:tc>
          <w:tcPr>
            <w:tcW w:type="dxa" w:w="1296"/>
          </w:tcPr>
          <w:p>
            <w:pPr>
              <w:spacing w:after="0" w:line="240" w:lineRule="auto"/>
              <w:jc w:val="center"/>
            </w:pPr>
            <w:r/>
            <w:r>
              <w:rPr>
                <w:b w:val="0"/>
                <w:sz w:val="15"/>
              </w:rPr>
              <w:t>9,804 (1,271)</w:t>
            </w:r>
          </w:p>
        </w:tc>
        <w:tc>
          <w:tcPr>
            <w:tcW w:type="dxa" w:w="1944"/>
          </w:tcPr>
          <w:p>
            <w:pPr>
              <w:spacing w:after="0" w:line="240" w:lineRule="auto"/>
              <w:jc w:val="center"/>
            </w:pPr>
            <w:r/>
            <w:r>
              <w:rPr>
                <w:b w:val="0"/>
                <w:sz w:val="15"/>
              </w:rPr>
              <w:t>0.795 / 0.806 / 0.803</w:t>
            </w:r>
          </w:p>
        </w:tc>
        <w:tc>
          <w:tcPr>
            <w:tcW w:type="dxa" w:w="1584"/>
          </w:tcPr>
          <w:p>
            <w:pPr>
              <w:spacing w:after="0" w:line="240" w:lineRule="auto"/>
              <w:jc w:val="center"/>
            </w:pPr>
            <w:r/>
            <w:r>
              <w:rPr>
                <w:b w:val="0"/>
                <w:sz w:val="15"/>
              </w:rPr>
              <w:t>−0.003 (−0.011 to +0.005)</w:t>
            </w:r>
          </w:p>
        </w:tc>
        <w:tc>
          <w:tcPr>
            <w:tcW w:type="dxa" w:w="1656"/>
          </w:tcPr>
          <w:p>
            <w:pPr>
              <w:spacing w:after="0" w:line="240" w:lineRule="auto"/>
              <w:jc w:val="center"/>
            </w:pPr>
            <w:r/>
            <w:r>
              <w:rPr>
                <w:b w:val="0"/>
                <w:sz w:val="15"/>
              </w:rPr>
              <w:t>+0.023 (+0.005 to +0.040)</w:t>
            </w:r>
          </w:p>
        </w:tc>
        <w:tc>
          <w:tcPr>
            <w:tcW w:type="dxa" w:w="1656"/>
          </w:tcPr>
          <w:p>
            <w:pPr>
              <w:spacing w:after="0" w:line="240" w:lineRule="auto"/>
              <w:jc w:val="center"/>
            </w:pPr>
            <w:r/>
            <w:r>
              <w:rPr>
                <w:b w:val="0"/>
                <w:sz w:val="15"/>
              </w:rPr>
              <w:t>−0.015 (−0.039 to +0.007)</w:t>
            </w:r>
          </w:p>
        </w:tc>
      </w:tr>
      <w:tr>
        <w:trPr>
          <w:cantSplit w:val="true"/>
        </w:trPr>
        <w:tc>
          <w:tcPr>
            <w:tcW w:type="dxa" w:w="2088"/>
          </w:tcPr>
          <w:p>
            <w:pPr>
              <w:spacing w:after="0" w:line="240" w:lineRule="auto"/>
            </w:pPr>
            <w:r/>
            <w:r>
              <w:rPr>
                <w:b w:val="0"/>
                <w:sz w:val="15"/>
              </w:rPr>
              <w:t>Trauma SICU</w:t>
            </w:r>
          </w:p>
        </w:tc>
        <w:tc>
          <w:tcPr>
            <w:tcW w:type="dxa" w:w="1296"/>
          </w:tcPr>
          <w:p>
            <w:pPr>
              <w:spacing w:after="0" w:line="240" w:lineRule="auto"/>
              <w:jc w:val="center"/>
            </w:pPr>
            <w:r/>
            <w:r>
              <w:rPr>
                <w:b w:val="0"/>
                <w:sz w:val="15"/>
              </w:rPr>
              <w:t>9,306 (975)</w:t>
            </w:r>
          </w:p>
        </w:tc>
        <w:tc>
          <w:tcPr>
            <w:tcW w:type="dxa" w:w="1944"/>
          </w:tcPr>
          <w:p>
            <w:pPr>
              <w:spacing w:after="0" w:line="240" w:lineRule="auto"/>
              <w:jc w:val="center"/>
            </w:pPr>
            <w:r/>
            <w:r>
              <w:rPr>
                <w:b w:val="0"/>
                <w:sz w:val="15"/>
              </w:rPr>
              <w:t>0.746 / 0.791 / 0.784</w:t>
            </w:r>
          </w:p>
        </w:tc>
        <w:tc>
          <w:tcPr>
            <w:tcW w:type="dxa" w:w="1584"/>
          </w:tcPr>
          <w:p>
            <w:pPr>
              <w:spacing w:after="0" w:line="240" w:lineRule="auto"/>
              <w:jc w:val="center"/>
            </w:pPr>
            <w:r/>
            <w:r>
              <w:rPr>
                <w:b w:val="0"/>
                <w:sz w:val="15"/>
              </w:rPr>
              <w:t>−0.007 (−0.018 to +0.003)</w:t>
            </w:r>
          </w:p>
        </w:tc>
        <w:tc>
          <w:tcPr>
            <w:tcW w:type="dxa" w:w="1656"/>
          </w:tcPr>
          <w:p>
            <w:pPr>
              <w:spacing w:after="0" w:line="240" w:lineRule="auto"/>
              <w:jc w:val="center"/>
            </w:pPr>
            <w:r/>
            <w:r>
              <w:rPr>
                <w:b w:val="0"/>
                <w:sz w:val="15"/>
              </w:rPr>
              <w:t>+0.007 (−0.014 to +0.028)</w:t>
            </w:r>
          </w:p>
        </w:tc>
        <w:tc>
          <w:tcPr>
            <w:tcW w:type="dxa" w:w="1656"/>
          </w:tcPr>
          <w:p>
            <w:pPr>
              <w:spacing w:after="0" w:line="240" w:lineRule="auto"/>
              <w:jc w:val="center"/>
            </w:pPr>
            <w:r/>
            <w:r>
              <w:rPr>
                <w:b w:val="0"/>
                <w:sz w:val="15"/>
              </w:rPr>
              <w:t>+0.003 (−0.024 to +0.031)</w:t>
            </w:r>
          </w:p>
        </w:tc>
      </w:tr>
    </w:tbl>
    <w:p>
      <w:pPr>
        <w:spacing w:after="40"/>
      </w:pPr>
    </w:p>
    <w:p>
      <w:pPr>
        <w:keepNext/>
        <w:spacing w:after="60"/>
      </w:pPr>
      <w:r>
        <w:rPr>
          <w:b/>
          <w:sz w:val="19"/>
        </w:rPr>
        <w:t xml:space="preserve">Supplementary Table S3. </w:t>
      </w:r>
      <w:r>
        <w:rPr>
          <w:sz w:val="19"/>
        </w:rPr>
        <w:t>Domain decomposition (swap one SOFA-2 domain into SOFA-1). Comparator: SOFA-1 as charted (upper) and community (lower); in-hospital mortality.</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val="true"/>
        </w:trPr>
        <w:tc>
          <w:tcPr>
            <w:tcW w:type="dxa" w:w="2448"/>
            <w:shd w:val="clear" w:color="auto" w:fill="D9E2F3"/>
          </w:tcPr>
          <w:p>
            <w:pPr>
              <w:spacing w:after="0" w:line="240" w:lineRule="auto"/>
            </w:pPr>
            <w:r/>
            <w:r>
              <w:rPr>
                <w:b/>
                <w:sz w:val="15"/>
              </w:rPr>
              <w:t>Domain swapped</w:t>
            </w:r>
          </w:p>
        </w:tc>
        <w:tc>
          <w:tcPr>
            <w:tcW w:type="dxa" w:w="1800"/>
            <w:shd w:val="clear" w:color="auto" w:fill="D9E2F3"/>
          </w:tcPr>
          <w:p>
            <w:pPr>
              <w:spacing w:after="0" w:line="240" w:lineRule="auto"/>
              <w:jc w:val="center"/>
            </w:pPr>
            <w:r/>
            <w:r>
              <w:rPr>
                <w:b/>
                <w:sz w:val="15"/>
              </w:rPr>
              <w:t>ΔAUROC overall</w:t>
            </w:r>
          </w:p>
        </w:tc>
        <w:tc>
          <w:tcPr>
            <w:tcW w:type="dxa" w:w="1800"/>
            <w:shd w:val="clear" w:color="auto" w:fill="D9E2F3"/>
          </w:tcPr>
          <w:p>
            <w:pPr>
              <w:spacing w:after="0" w:line="240" w:lineRule="auto"/>
              <w:jc w:val="center"/>
            </w:pPr>
            <w:r/>
            <w:r>
              <w:rPr>
                <w:b/>
                <w:sz w:val="15"/>
              </w:rPr>
              <w:t>Δgap male−female</w:t>
            </w:r>
          </w:p>
        </w:tc>
        <w:tc>
          <w:tcPr>
            <w:tcW w:type="dxa" w:w="1800"/>
            <w:shd w:val="clear" w:color="auto" w:fill="D9E2F3"/>
          </w:tcPr>
          <w:p>
            <w:pPr>
              <w:spacing w:after="0" w:line="240" w:lineRule="auto"/>
              <w:jc w:val="center"/>
            </w:pPr>
            <w:r/>
            <w:r>
              <w:rPr>
                <w:b/>
                <w:sz w:val="15"/>
              </w:rPr>
              <w:t>Δgap White−Black</w:t>
            </w:r>
          </w:p>
        </w:tc>
        <w:tc>
          <w:tcPr>
            <w:tcW w:type="dxa" w:w="1800"/>
            <w:shd w:val="clear" w:color="auto" w:fill="D9E2F3"/>
          </w:tcPr>
          <w:p>
            <w:pPr>
              <w:spacing w:after="0" w:line="240" w:lineRule="auto"/>
              <w:jc w:val="center"/>
            </w:pPr>
            <w:r/>
            <w:r>
              <w:rPr>
                <w:b/>
                <w:sz w:val="15"/>
              </w:rPr>
              <w:t>Δgap Medicare−Private</w:t>
            </w:r>
          </w:p>
        </w:tc>
      </w:tr>
      <w:tr>
        <w:trPr>
          <w:cantSplit w:val="true"/>
        </w:trPr>
        <w:tc>
          <w:tcPr>
            <w:tcW w:type="dxa" w:w="2448"/>
            <w:shd w:val="clear" w:color="auto" w:fill="F2F2F2"/>
          </w:tcPr>
          <w:p>
            <w:pPr>
              <w:spacing w:after="0" w:line="240" w:lineRule="auto"/>
            </w:pPr>
            <w:r/>
            <w:r>
              <w:rPr>
                <w:b/>
                <w:sz w:val="15"/>
              </w:rPr>
              <w:t>Comparator: SOFA-1 as charted</w:t>
            </w:r>
          </w:p>
        </w:tc>
        <w:tc>
          <w:tcPr>
            <w:tcW w:type="dxa" w:w="1800"/>
            <w:shd w:val="clear" w:color="auto" w:fill="F2F2F2"/>
          </w:tcPr>
          <w:p>
            <w:pPr>
              <w:spacing w:after="0" w:line="240" w:lineRule="auto"/>
            </w:pPr>
            <w:r/>
            <w:r>
              <w:rPr>
                <w:b/>
                <w:sz w:val="15"/>
              </w:rPr>
            </w:r>
          </w:p>
        </w:tc>
        <w:tc>
          <w:tcPr>
            <w:tcW w:type="dxa" w:w="1800"/>
            <w:shd w:val="clear" w:color="auto" w:fill="F2F2F2"/>
          </w:tcPr>
          <w:p>
            <w:pPr>
              <w:spacing w:after="0" w:line="240" w:lineRule="auto"/>
            </w:pPr>
            <w:r/>
            <w:r>
              <w:rPr>
                <w:b/>
                <w:sz w:val="15"/>
              </w:rPr>
            </w:r>
          </w:p>
        </w:tc>
        <w:tc>
          <w:tcPr>
            <w:tcW w:type="dxa" w:w="1800"/>
            <w:shd w:val="clear" w:color="auto" w:fill="F2F2F2"/>
          </w:tcPr>
          <w:p>
            <w:pPr>
              <w:spacing w:after="0" w:line="240" w:lineRule="auto"/>
            </w:pPr>
            <w:r/>
            <w:r>
              <w:rPr>
                <w:b/>
                <w:sz w:val="15"/>
              </w:rPr>
            </w:r>
          </w:p>
        </w:tc>
        <w:tc>
          <w:tcPr>
            <w:tcW w:type="dxa" w:w="1800"/>
            <w:shd w:val="clear" w:color="auto" w:fill="F2F2F2"/>
          </w:tcPr>
          <w:p>
            <w:pPr>
              <w:spacing w:after="0" w:line="240" w:lineRule="auto"/>
            </w:pPr>
            <w:r/>
            <w:r>
              <w:rPr>
                <w:b/>
                <w:sz w:val="15"/>
              </w:rPr>
            </w:r>
          </w:p>
        </w:tc>
      </w:tr>
      <w:tr>
        <w:trPr>
          <w:cantSplit w:val="true"/>
        </w:trPr>
        <w:tc>
          <w:tcPr>
            <w:tcW w:type="dxa" w:w="2448"/>
          </w:tcPr>
          <w:p>
            <w:pPr>
              <w:spacing w:after="0" w:line="240" w:lineRule="auto"/>
            </w:pPr>
            <w:r/>
            <w:r>
              <w:rPr>
                <w:b w:val="0"/>
                <w:sz w:val="15"/>
              </w:rPr>
              <w:t xml:space="preserve">   brain</w:t>
            </w:r>
          </w:p>
        </w:tc>
        <w:tc>
          <w:tcPr>
            <w:tcW w:type="dxa" w:w="1800"/>
          </w:tcPr>
          <w:p>
            <w:pPr>
              <w:spacing w:after="0" w:line="240" w:lineRule="auto"/>
              <w:jc w:val="center"/>
            </w:pPr>
            <w:r/>
            <w:r>
              <w:rPr>
                <w:b w:val="0"/>
                <w:sz w:val="15"/>
              </w:rPr>
              <w:t>+0.004 (+0.002 to +0.006)</w:t>
            </w:r>
          </w:p>
        </w:tc>
        <w:tc>
          <w:tcPr>
            <w:tcW w:type="dxa" w:w="1800"/>
          </w:tcPr>
          <w:p>
            <w:pPr>
              <w:spacing w:after="0" w:line="240" w:lineRule="auto"/>
              <w:jc w:val="center"/>
            </w:pPr>
            <w:r/>
            <w:r>
              <w:rPr>
                <w:b w:val="0"/>
                <w:sz w:val="15"/>
              </w:rPr>
              <w:t>+0.021 (+0.016 to +0.026)</w:t>
            </w:r>
          </w:p>
        </w:tc>
        <w:tc>
          <w:tcPr>
            <w:tcW w:type="dxa" w:w="1800"/>
          </w:tcPr>
          <w:p>
            <w:pPr>
              <w:spacing w:after="0" w:line="240" w:lineRule="auto"/>
              <w:jc w:val="center"/>
            </w:pPr>
            <w:r/>
            <w:r>
              <w:rPr>
                <w:b w:val="0"/>
                <w:sz w:val="15"/>
              </w:rPr>
              <w:t>+0.017 (+0.009 to +0.025)</w:t>
            </w:r>
          </w:p>
        </w:tc>
        <w:tc>
          <w:tcPr>
            <w:tcW w:type="dxa" w:w="1800"/>
          </w:tcPr>
          <w:p>
            <w:pPr>
              <w:spacing w:after="0" w:line="240" w:lineRule="auto"/>
              <w:jc w:val="center"/>
            </w:pPr>
            <w:r/>
            <w:r>
              <w:rPr>
                <w:b w:val="0"/>
                <w:sz w:val="15"/>
              </w:rPr>
              <w:t>−0.014 (−0.020 to −0.008)</w:t>
            </w:r>
          </w:p>
        </w:tc>
      </w:tr>
      <w:tr>
        <w:trPr>
          <w:cantSplit w:val="true"/>
        </w:trPr>
        <w:tc>
          <w:tcPr>
            <w:tcW w:type="dxa" w:w="2448"/>
          </w:tcPr>
          <w:p>
            <w:pPr>
              <w:spacing w:after="0" w:line="240" w:lineRule="auto"/>
            </w:pPr>
            <w:r/>
            <w:r>
              <w:rPr>
                <w:b w:val="0"/>
                <w:sz w:val="15"/>
              </w:rPr>
              <w:t xml:space="preserve">   respiratory</w:t>
            </w:r>
          </w:p>
        </w:tc>
        <w:tc>
          <w:tcPr>
            <w:tcW w:type="dxa" w:w="1800"/>
          </w:tcPr>
          <w:p>
            <w:pPr>
              <w:spacing w:after="0" w:line="240" w:lineRule="auto"/>
              <w:jc w:val="center"/>
            </w:pPr>
            <w:r/>
            <w:r>
              <w:rPr>
                <w:b w:val="0"/>
                <w:sz w:val="15"/>
              </w:rPr>
              <w:t>+0.019 (+0.017 to +0.021)</w:t>
            </w:r>
          </w:p>
        </w:tc>
        <w:tc>
          <w:tcPr>
            <w:tcW w:type="dxa" w:w="1800"/>
          </w:tcPr>
          <w:p>
            <w:pPr>
              <w:spacing w:after="0" w:line="240" w:lineRule="auto"/>
              <w:jc w:val="center"/>
            </w:pPr>
            <w:r/>
            <w:r>
              <w:rPr>
                <w:b w:val="0"/>
                <w:sz w:val="15"/>
              </w:rPr>
              <w:t>+0.002 (−0.002 to +0.005)</w:t>
            </w:r>
          </w:p>
        </w:tc>
        <w:tc>
          <w:tcPr>
            <w:tcW w:type="dxa" w:w="1800"/>
          </w:tcPr>
          <w:p>
            <w:pPr>
              <w:spacing w:after="0" w:line="240" w:lineRule="auto"/>
              <w:jc w:val="center"/>
            </w:pPr>
            <w:r/>
            <w:r>
              <w:rPr>
                <w:b w:val="0"/>
                <w:sz w:val="15"/>
              </w:rPr>
              <w:t>+0.008 (+0.002 to +0.014)</w:t>
            </w:r>
          </w:p>
        </w:tc>
        <w:tc>
          <w:tcPr>
            <w:tcW w:type="dxa" w:w="1800"/>
          </w:tcPr>
          <w:p>
            <w:pPr>
              <w:spacing w:after="0" w:line="240" w:lineRule="auto"/>
              <w:jc w:val="center"/>
            </w:pPr>
            <w:r/>
            <w:r>
              <w:rPr>
                <w:b w:val="0"/>
                <w:sz w:val="15"/>
              </w:rPr>
              <w:t>+0.005 (+0.001 to +0.009)</w:t>
            </w:r>
          </w:p>
        </w:tc>
      </w:tr>
      <w:tr>
        <w:trPr>
          <w:cantSplit w:val="true"/>
        </w:trPr>
        <w:tc>
          <w:tcPr>
            <w:tcW w:type="dxa" w:w="2448"/>
          </w:tcPr>
          <w:p>
            <w:pPr>
              <w:spacing w:after="0" w:line="240" w:lineRule="auto"/>
            </w:pPr>
            <w:r/>
            <w:r>
              <w:rPr>
                <w:b w:val="0"/>
                <w:sz w:val="15"/>
              </w:rPr>
              <w:t xml:space="preserve">   respiratory (P/F only)</w:t>
            </w:r>
          </w:p>
        </w:tc>
        <w:tc>
          <w:tcPr>
            <w:tcW w:type="dxa" w:w="1800"/>
          </w:tcPr>
          <w:p>
            <w:pPr>
              <w:spacing w:after="0" w:line="240" w:lineRule="auto"/>
              <w:jc w:val="center"/>
            </w:pPr>
            <w:r/>
            <w:r>
              <w:rPr>
                <w:b w:val="0"/>
                <w:sz w:val="15"/>
              </w:rPr>
              <w:t>+0.005 (+0.004 to +0.005)</w:t>
            </w:r>
          </w:p>
        </w:tc>
        <w:tc>
          <w:tcPr>
            <w:tcW w:type="dxa" w:w="1800"/>
          </w:tcPr>
          <w:p>
            <w:pPr>
              <w:spacing w:after="0" w:line="240" w:lineRule="auto"/>
              <w:jc w:val="center"/>
            </w:pPr>
            <w:r/>
            <w:r>
              <w:rPr>
                <w:b w:val="0"/>
                <w:sz w:val="15"/>
              </w:rPr>
              <w:t>+0.003 (+0.002 to +0.004)</w:t>
            </w:r>
          </w:p>
        </w:tc>
        <w:tc>
          <w:tcPr>
            <w:tcW w:type="dxa" w:w="1800"/>
          </w:tcPr>
          <w:p>
            <w:pPr>
              <w:spacing w:after="0" w:line="240" w:lineRule="auto"/>
              <w:jc w:val="center"/>
            </w:pPr>
            <w:r/>
            <w:r>
              <w:rPr>
                <w:b w:val="0"/>
                <w:sz w:val="15"/>
              </w:rPr>
              <w:t>+0.004 (+0.002 to +0.005)</w:t>
            </w:r>
          </w:p>
        </w:tc>
        <w:tc>
          <w:tcPr>
            <w:tcW w:type="dxa" w:w="1800"/>
          </w:tcPr>
          <w:p>
            <w:pPr>
              <w:spacing w:after="0" w:line="240" w:lineRule="auto"/>
              <w:jc w:val="center"/>
            </w:pPr>
            <w:r/>
            <w:r>
              <w:rPr>
                <w:b w:val="0"/>
                <w:sz w:val="15"/>
              </w:rPr>
              <w:t>−0.001 (−0.002 to +0.001)</w:t>
            </w:r>
          </w:p>
        </w:tc>
      </w:tr>
      <w:tr>
        <w:trPr>
          <w:cantSplit w:val="true"/>
        </w:trPr>
        <w:tc>
          <w:tcPr>
            <w:tcW w:type="dxa" w:w="2448"/>
          </w:tcPr>
          <w:p>
            <w:pPr>
              <w:spacing w:after="0" w:line="240" w:lineRule="auto"/>
            </w:pPr>
            <w:r/>
            <w:r>
              <w:rPr>
                <w:b w:val="0"/>
                <w:sz w:val="15"/>
              </w:rPr>
              <w:t xml:space="preserve">   cardiovascular</w:t>
            </w:r>
          </w:p>
        </w:tc>
        <w:tc>
          <w:tcPr>
            <w:tcW w:type="dxa" w:w="1800"/>
          </w:tcPr>
          <w:p>
            <w:pPr>
              <w:spacing w:after="0" w:line="240" w:lineRule="auto"/>
              <w:jc w:val="center"/>
            </w:pPr>
            <w:r/>
            <w:r>
              <w:rPr>
                <w:b w:val="0"/>
                <w:sz w:val="15"/>
              </w:rPr>
              <w:t>−0.003 (−0.004 to −0.003)</w:t>
            </w:r>
          </w:p>
        </w:tc>
        <w:tc>
          <w:tcPr>
            <w:tcW w:type="dxa" w:w="1800"/>
          </w:tcPr>
          <w:p>
            <w:pPr>
              <w:spacing w:after="0" w:line="240" w:lineRule="auto"/>
              <w:jc w:val="center"/>
            </w:pPr>
            <w:r/>
            <w:r>
              <w:rPr>
                <w:b w:val="0"/>
                <w:sz w:val="15"/>
              </w:rPr>
              <w:t>−0.002 (−0.004 to −0.001)</w:t>
            </w:r>
          </w:p>
        </w:tc>
        <w:tc>
          <w:tcPr>
            <w:tcW w:type="dxa" w:w="1800"/>
          </w:tcPr>
          <w:p>
            <w:pPr>
              <w:spacing w:after="0" w:line="240" w:lineRule="auto"/>
              <w:jc w:val="center"/>
            </w:pPr>
            <w:r/>
            <w:r>
              <w:rPr>
                <w:b w:val="0"/>
                <w:sz w:val="15"/>
              </w:rPr>
              <w:t>−0.004 (−0.007 to −0.002)</w:t>
            </w:r>
          </w:p>
        </w:tc>
        <w:tc>
          <w:tcPr>
            <w:tcW w:type="dxa" w:w="1800"/>
          </w:tcPr>
          <w:p>
            <w:pPr>
              <w:spacing w:after="0" w:line="240" w:lineRule="auto"/>
              <w:jc w:val="center"/>
            </w:pPr>
            <w:r/>
            <w:r>
              <w:rPr>
                <w:b w:val="0"/>
                <w:sz w:val="15"/>
              </w:rPr>
              <w:t>+0.001 (−0.001 to +0.003)</w:t>
            </w:r>
          </w:p>
        </w:tc>
      </w:tr>
      <w:tr>
        <w:trPr>
          <w:cantSplit w:val="true"/>
        </w:trPr>
        <w:tc>
          <w:tcPr>
            <w:tcW w:type="dxa" w:w="2448"/>
          </w:tcPr>
          <w:p>
            <w:pPr>
              <w:spacing w:after="0" w:line="240" w:lineRule="auto"/>
            </w:pPr>
            <w:r/>
            <w:r>
              <w:rPr>
                <w:b w:val="0"/>
                <w:sz w:val="15"/>
              </w:rPr>
              <w:t xml:space="preserve">   liver</w:t>
            </w:r>
          </w:p>
        </w:tc>
        <w:tc>
          <w:tcPr>
            <w:tcW w:type="dxa" w:w="1800"/>
          </w:tcPr>
          <w:p>
            <w:pPr>
              <w:spacing w:after="0" w:line="240" w:lineRule="auto"/>
              <w:jc w:val="center"/>
            </w:pPr>
            <w:r/>
            <w:r>
              <w:rPr>
                <w:b w:val="0"/>
                <w:sz w:val="15"/>
              </w:rPr>
              <w:t>0.000 (−0.001 to 0.000)</w:t>
            </w:r>
          </w:p>
        </w:tc>
        <w:tc>
          <w:tcPr>
            <w:tcW w:type="dxa" w:w="1800"/>
          </w:tcPr>
          <w:p>
            <w:pPr>
              <w:spacing w:after="0" w:line="240" w:lineRule="auto"/>
              <w:jc w:val="center"/>
            </w:pPr>
            <w:r/>
            <w:r>
              <w:rPr>
                <w:b w:val="0"/>
                <w:sz w:val="15"/>
              </w:rPr>
              <w:t>−0.001 (−0.001 to 0.000)</w:t>
            </w:r>
          </w:p>
        </w:tc>
        <w:tc>
          <w:tcPr>
            <w:tcW w:type="dxa" w:w="1800"/>
          </w:tcPr>
          <w:p>
            <w:pPr>
              <w:spacing w:after="0" w:line="240" w:lineRule="auto"/>
              <w:jc w:val="center"/>
            </w:pPr>
            <w:r/>
            <w:r>
              <w:rPr>
                <w:b w:val="0"/>
                <w:sz w:val="15"/>
              </w:rPr>
              <w:t>+0.001 (0.000 to +0.002)</w:t>
            </w:r>
          </w:p>
        </w:tc>
        <w:tc>
          <w:tcPr>
            <w:tcW w:type="dxa" w:w="1800"/>
          </w:tcPr>
          <w:p>
            <w:pPr>
              <w:spacing w:after="0" w:line="240" w:lineRule="auto"/>
              <w:jc w:val="center"/>
            </w:pPr>
            <w:r/>
            <w:r>
              <w:rPr>
                <w:b w:val="0"/>
                <w:sz w:val="15"/>
              </w:rPr>
              <w:t>0.000 (−0.001 to +0.001)</w:t>
            </w:r>
          </w:p>
        </w:tc>
      </w:tr>
      <w:tr>
        <w:trPr>
          <w:cantSplit w:val="true"/>
        </w:trPr>
        <w:tc>
          <w:tcPr>
            <w:tcW w:type="dxa" w:w="2448"/>
          </w:tcPr>
          <w:p>
            <w:pPr>
              <w:spacing w:after="0" w:line="240" w:lineRule="auto"/>
            </w:pPr>
            <w:r/>
            <w:r>
              <w:rPr>
                <w:b w:val="0"/>
                <w:sz w:val="15"/>
              </w:rPr>
              <w:t xml:space="preserve">   kidney</w:t>
            </w:r>
          </w:p>
        </w:tc>
        <w:tc>
          <w:tcPr>
            <w:tcW w:type="dxa" w:w="1800"/>
          </w:tcPr>
          <w:p>
            <w:pPr>
              <w:spacing w:after="0" w:line="240" w:lineRule="auto"/>
              <w:jc w:val="center"/>
            </w:pPr>
            <w:r/>
            <w:r>
              <w:rPr>
                <w:b w:val="0"/>
                <w:sz w:val="15"/>
              </w:rPr>
              <w:t>−0.004 (−0.006 to −0.003)</w:t>
            </w:r>
          </w:p>
        </w:tc>
        <w:tc>
          <w:tcPr>
            <w:tcW w:type="dxa" w:w="1800"/>
          </w:tcPr>
          <w:p>
            <w:pPr>
              <w:spacing w:after="0" w:line="240" w:lineRule="auto"/>
              <w:jc w:val="center"/>
            </w:pPr>
            <w:r/>
            <w:r>
              <w:rPr>
                <w:b w:val="0"/>
                <w:sz w:val="15"/>
              </w:rPr>
              <w:t>+0.003 (+0.001 to +0.006)</w:t>
            </w:r>
          </w:p>
        </w:tc>
        <w:tc>
          <w:tcPr>
            <w:tcW w:type="dxa" w:w="1800"/>
          </w:tcPr>
          <w:p>
            <w:pPr>
              <w:spacing w:after="0" w:line="240" w:lineRule="auto"/>
              <w:jc w:val="center"/>
            </w:pPr>
            <w:r/>
            <w:r>
              <w:rPr>
                <w:b w:val="0"/>
                <w:sz w:val="15"/>
              </w:rPr>
              <w:t>+0.001 (−0.004 to +0.006)</w:t>
            </w:r>
          </w:p>
        </w:tc>
        <w:tc>
          <w:tcPr>
            <w:tcW w:type="dxa" w:w="1800"/>
          </w:tcPr>
          <w:p>
            <w:pPr>
              <w:spacing w:after="0" w:line="240" w:lineRule="auto"/>
              <w:jc w:val="center"/>
            </w:pPr>
            <w:r/>
            <w:r>
              <w:rPr>
                <w:b w:val="0"/>
                <w:sz w:val="15"/>
              </w:rPr>
              <w:t>−0.002 (−0.005 to +0.001)</w:t>
            </w:r>
          </w:p>
        </w:tc>
      </w:tr>
      <w:tr>
        <w:trPr>
          <w:cantSplit w:val="true"/>
        </w:trPr>
        <w:tc>
          <w:tcPr>
            <w:tcW w:type="dxa" w:w="2448"/>
          </w:tcPr>
          <w:p>
            <w:pPr>
              <w:spacing w:after="0" w:line="240" w:lineRule="auto"/>
            </w:pPr>
            <w:r/>
            <w:r>
              <w:rPr>
                <w:b w:val="0"/>
                <w:sz w:val="15"/>
              </w:rPr>
              <w:t xml:space="preserve">   hemostasis</w:t>
            </w:r>
          </w:p>
        </w:tc>
        <w:tc>
          <w:tcPr>
            <w:tcW w:type="dxa" w:w="1800"/>
          </w:tcPr>
          <w:p>
            <w:pPr>
              <w:spacing w:after="0" w:line="240" w:lineRule="auto"/>
              <w:jc w:val="center"/>
            </w:pPr>
            <w:r/>
            <w:r>
              <w:rPr>
                <w:b w:val="0"/>
                <w:sz w:val="15"/>
              </w:rPr>
              <w:t>−0.001 (−0.001 to 0.000)</w:t>
            </w:r>
          </w:p>
        </w:tc>
        <w:tc>
          <w:tcPr>
            <w:tcW w:type="dxa" w:w="1800"/>
          </w:tcPr>
          <w:p>
            <w:pPr>
              <w:spacing w:after="0" w:line="240" w:lineRule="auto"/>
              <w:jc w:val="center"/>
            </w:pPr>
            <w:r/>
            <w:r>
              <w:rPr>
                <w:b w:val="0"/>
                <w:sz w:val="15"/>
              </w:rPr>
              <w:t>+0.001 (0.000 to +0.001)</w:t>
            </w:r>
          </w:p>
        </w:tc>
        <w:tc>
          <w:tcPr>
            <w:tcW w:type="dxa" w:w="1800"/>
          </w:tcPr>
          <w:p>
            <w:pPr>
              <w:spacing w:after="0" w:line="240" w:lineRule="auto"/>
              <w:jc w:val="center"/>
            </w:pPr>
            <w:r/>
            <w:r>
              <w:rPr>
                <w:b w:val="0"/>
                <w:sz w:val="15"/>
              </w:rPr>
              <w:t>0.000 (−0.001 to +0.001)</w:t>
            </w:r>
          </w:p>
        </w:tc>
        <w:tc>
          <w:tcPr>
            <w:tcW w:type="dxa" w:w="1800"/>
          </w:tcPr>
          <w:p>
            <w:pPr>
              <w:spacing w:after="0" w:line="240" w:lineRule="auto"/>
              <w:jc w:val="center"/>
            </w:pPr>
            <w:r/>
            <w:r>
              <w:rPr>
                <w:b w:val="0"/>
                <w:sz w:val="15"/>
              </w:rPr>
              <w:t>−0.002 (−0.003 to −0.001)</w:t>
            </w:r>
          </w:p>
        </w:tc>
      </w:tr>
      <w:tr>
        <w:trPr>
          <w:cantSplit w:val="true"/>
        </w:trPr>
        <w:tc>
          <w:tcPr>
            <w:tcW w:type="dxa" w:w="2448"/>
            <w:shd w:val="clear" w:color="auto" w:fill="F2F2F2"/>
          </w:tcPr>
          <w:p>
            <w:pPr>
              <w:spacing w:after="0" w:line="240" w:lineRule="auto"/>
            </w:pPr>
            <w:r/>
            <w:r>
              <w:rPr>
                <w:b/>
                <w:sz w:val="15"/>
              </w:rPr>
              <w:t>Comparator: SOFA-1 community</w:t>
            </w:r>
          </w:p>
        </w:tc>
        <w:tc>
          <w:tcPr>
            <w:tcW w:type="dxa" w:w="1800"/>
            <w:shd w:val="clear" w:color="auto" w:fill="F2F2F2"/>
          </w:tcPr>
          <w:p>
            <w:pPr>
              <w:spacing w:after="0" w:line="240" w:lineRule="auto"/>
            </w:pPr>
            <w:r/>
            <w:r>
              <w:rPr>
                <w:b/>
                <w:sz w:val="15"/>
              </w:rPr>
            </w:r>
          </w:p>
        </w:tc>
        <w:tc>
          <w:tcPr>
            <w:tcW w:type="dxa" w:w="1800"/>
            <w:shd w:val="clear" w:color="auto" w:fill="F2F2F2"/>
          </w:tcPr>
          <w:p>
            <w:pPr>
              <w:spacing w:after="0" w:line="240" w:lineRule="auto"/>
            </w:pPr>
            <w:r/>
            <w:r>
              <w:rPr>
                <w:b/>
                <w:sz w:val="15"/>
              </w:rPr>
            </w:r>
          </w:p>
        </w:tc>
        <w:tc>
          <w:tcPr>
            <w:tcW w:type="dxa" w:w="1800"/>
            <w:shd w:val="clear" w:color="auto" w:fill="F2F2F2"/>
          </w:tcPr>
          <w:p>
            <w:pPr>
              <w:spacing w:after="0" w:line="240" w:lineRule="auto"/>
            </w:pPr>
            <w:r/>
            <w:r>
              <w:rPr>
                <w:b/>
                <w:sz w:val="15"/>
              </w:rPr>
            </w:r>
          </w:p>
        </w:tc>
        <w:tc>
          <w:tcPr>
            <w:tcW w:type="dxa" w:w="1800"/>
            <w:shd w:val="clear" w:color="auto" w:fill="F2F2F2"/>
          </w:tcPr>
          <w:p>
            <w:pPr>
              <w:spacing w:after="0" w:line="240" w:lineRule="auto"/>
            </w:pPr>
            <w:r/>
            <w:r>
              <w:rPr>
                <w:b/>
                <w:sz w:val="15"/>
              </w:rPr>
            </w:r>
          </w:p>
        </w:tc>
      </w:tr>
      <w:tr>
        <w:trPr>
          <w:cantSplit w:val="true"/>
        </w:trPr>
        <w:tc>
          <w:tcPr>
            <w:tcW w:type="dxa" w:w="2448"/>
          </w:tcPr>
          <w:p>
            <w:pPr>
              <w:spacing w:after="0" w:line="240" w:lineRule="auto"/>
            </w:pPr>
            <w:r/>
            <w:r>
              <w:rPr>
                <w:b w:val="0"/>
                <w:sz w:val="15"/>
              </w:rPr>
              <w:t xml:space="preserve">   brain</w:t>
            </w:r>
          </w:p>
        </w:tc>
        <w:tc>
          <w:tcPr>
            <w:tcW w:type="dxa" w:w="1800"/>
          </w:tcPr>
          <w:p>
            <w:pPr>
              <w:spacing w:after="0" w:line="240" w:lineRule="auto"/>
              <w:jc w:val="center"/>
            </w:pPr>
            <w:r/>
            <w:r>
              <w:rPr>
                <w:b w:val="0"/>
                <w:sz w:val="15"/>
              </w:rPr>
              <w:t>+0.012 (+0.010 to +0.014)</w:t>
            </w:r>
          </w:p>
        </w:tc>
        <w:tc>
          <w:tcPr>
            <w:tcW w:type="dxa" w:w="1800"/>
          </w:tcPr>
          <w:p>
            <w:pPr>
              <w:spacing w:after="0" w:line="240" w:lineRule="auto"/>
              <w:jc w:val="center"/>
            </w:pPr>
            <w:r/>
            <w:r>
              <w:rPr>
                <w:b w:val="0"/>
                <w:sz w:val="15"/>
              </w:rPr>
              <w:t>+0.002 (−0.003 to +0.006)</w:t>
            </w:r>
          </w:p>
        </w:tc>
        <w:tc>
          <w:tcPr>
            <w:tcW w:type="dxa" w:w="1800"/>
          </w:tcPr>
          <w:p>
            <w:pPr>
              <w:spacing w:after="0" w:line="240" w:lineRule="auto"/>
              <w:jc w:val="center"/>
            </w:pPr>
            <w:r/>
            <w:r>
              <w:rPr>
                <w:b w:val="0"/>
                <w:sz w:val="15"/>
              </w:rPr>
              <w:t>+0.004 (−0.003 to +0.011)</w:t>
            </w:r>
          </w:p>
        </w:tc>
        <w:tc>
          <w:tcPr>
            <w:tcW w:type="dxa" w:w="1800"/>
          </w:tcPr>
          <w:p>
            <w:pPr>
              <w:spacing w:after="0" w:line="240" w:lineRule="auto"/>
              <w:jc w:val="center"/>
            </w:pPr>
            <w:r/>
            <w:r>
              <w:rPr>
                <w:b w:val="0"/>
                <w:sz w:val="15"/>
              </w:rPr>
              <w:t>−0.001 (−0.007 to +0.004)</w:t>
            </w:r>
          </w:p>
        </w:tc>
      </w:tr>
      <w:tr>
        <w:trPr>
          <w:cantSplit w:val="true"/>
        </w:trPr>
        <w:tc>
          <w:tcPr>
            <w:tcW w:type="dxa" w:w="2448"/>
          </w:tcPr>
          <w:p>
            <w:pPr>
              <w:spacing w:after="0" w:line="240" w:lineRule="auto"/>
            </w:pPr>
            <w:r/>
            <w:r>
              <w:rPr>
                <w:b w:val="0"/>
                <w:sz w:val="15"/>
              </w:rPr>
              <w:t xml:space="preserve">   respiratory</w:t>
            </w:r>
          </w:p>
        </w:tc>
        <w:tc>
          <w:tcPr>
            <w:tcW w:type="dxa" w:w="1800"/>
          </w:tcPr>
          <w:p>
            <w:pPr>
              <w:spacing w:after="0" w:line="240" w:lineRule="auto"/>
              <w:jc w:val="center"/>
            </w:pPr>
            <w:r/>
            <w:r>
              <w:rPr>
                <w:b w:val="0"/>
                <w:sz w:val="15"/>
              </w:rPr>
              <w:t>+0.026 (+0.024 to +0.028)</w:t>
            </w:r>
          </w:p>
        </w:tc>
        <w:tc>
          <w:tcPr>
            <w:tcW w:type="dxa" w:w="1800"/>
          </w:tcPr>
          <w:p>
            <w:pPr>
              <w:spacing w:after="0" w:line="240" w:lineRule="auto"/>
              <w:jc w:val="center"/>
            </w:pPr>
            <w:r/>
            <w:r>
              <w:rPr>
                <w:b w:val="0"/>
                <w:sz w:val="15"/>
              </w:rPr>
              <w:t>−0.001 (−0.005 to +0.004)</w:t>
            </w:r>
          </w:p>
        </w:tc>
        <w:tc>
          <w:tcPr>
            <w:tcW w:type="dxa" w:w="1800"/>
          </w:tcPr>
          <w:p>
            <w:pPr>
              <w:spacing w:after="0" w:line="240" w:lineRule="auto"/>
              <w:jc w:val="center"/>
            </w:pPr>
            <w:r/>
            <w:r>
              <w:rPr>
                <w:b w:val="0"/>
                <w:sz w:val="15"/>
              </w:rPr>
              <w:t>+0.011 (+0.003 to +0.018)</w:t>
            </w:r>
          </w:p>
        </w:tc>
        <w:tc>
          <w:tcPr>
            <w:tcW w:type="dxa" w:w="1800"/>
          </w:tcPr>
          <w:p>
            <w:pPr>
              <w:spacing w:after="0" w:line="240" w:lineRule="auto"/>
              <w:jc w:val="center"/>
            </w:pPr>
            <w:r/>
            <w:r>
              <w:rPr>
                <w:b w:val="0"/>
                <w:sz w:val="15"/>
              </w:rPr>
              <w:t>+0.007 (+0.001 to +0.013)</w:t>
            </w:r>
          </w:p>
        </w:tc>
      </w:tr>
      <w:tr>
        <w:trPr>
          <w:cantSplit w:val="true"/>
        </w:trPr>
        <w:tc>
          <w:tcPr>
            <w:tcW w:type="dxa" w:w="2448"/>
          </w:tcPr>
          <w:p>
            <w:pPr>
              <w:spacing w:after="0" w:line="240" w:lineRule="auto"/>
            </w:pPr>
            <w:r/>
            <w:r>
              <w:rPr>
                <w:b w:val="0"/>
                <w:sz w:val="15"/>
              </w:rPr>
              <w:t xml:space="preserve">   respiratory (P/F only)</w:t>
            </w:r>
          </w:p>
        </w:tc>
        <w:tc>
          <w:tcPr>
            <w:tcW w:type="dxa" w:w="1800"/>
          </w:tcPr>
          <w:p>
            <w:pPr>
              <w:spacing w:after="0" w:line="240" w:lineRule="auto"/>
              <w:jc w:val="center"/>
            </w:pPr>
            <w:r/>
            <w:r>
              <w:rPr>
                <w:b w:val="0"/>
                <w:sz w:val="15"/>
              </w:rPr>
              <w:t>+0.002 (+0.002 to +0.003)</w:t>
            </w:r>
          </w:p>
        </w:tc>
        <w:tc>
          <w:tcPr>
            <w:tcW w:type="dxa" w:w="1800"/>
          </w:tcPr>
          <w:p>
            <w:pPr>
              <w:spacing w:after="0" w:line="240" w:lineRule="auto"/>
              <w:jc w:val="center"/>
            </w:pPr>
            <w:r/>
            <w:r>
              <w:rPr>
                <w:b w:val="0"/>
                <w:sz w:val="15"/>
              </w:rPr>
              <w:t>+0.004 (+0.002 to +0.005)</w:t>
            </w:r>
          </w:p>
        </w:tc>
        <w:tc>
          <w:tcPr>
            <w:tcW w:type="dxa" w:w="1800"/>
          </w:tcPr>
          <w:p>
            <w:pPr>
              <w:spacing w:after="0" w:line="240" w:lineRule="auto"/>
              <w:jc w:val="center"/>
            </w:pPr>
            <w:r/>
            <w:r>
              <w:rPr>
                <w:b w:val="0"/>
                <w:sz w:val="15"/>
              </w:rPr>
              <w:t>+0.005 (+0.002 to +0.007)</w:t>
            </w:r>
          </w:p>
        </w:tc>
        <w:tc>
          <w:tcPr>
            <w:tcW w:type="dxa" w:w="1800"/>
          </w:tcPr>
          <w:p>
            <w:pPr>
              <w:spacing w:after="0" w:line="240" w:lineRule="auto"/>
              <w:jc w:val="center"/>
            </w:pPr>
            <w:r/>
            <w:r>
              <w:rPr>
                <w:b w:val="0"/>
                <w:sz w:val="15"/>
              </w:rPr>
              <w:t>0.000 (−0.002 to +0.002)</w:t>
            </w:r>
          </w:p>
        </w:tc>
      </w:tr>
      <w:tr>
        <w:trPr>
          <w:cantSplit w:val="true"/>
        </w:trPr>
        <w:tc>
          <w:tcPr>
            <w:tcW w:type="dxa" w:w="2448"/>
          </w:tcPr>
          <w:p>
            <w:pPr>
              <w:spacing w:after="0" w:line="240" w:lineRule="auto"/>
            </w:pPr>
            <w:r/>
            <w:r>
              <w:rPr>
                <w:b w:val="0"/>
                <w:sz w:val="15"/>
              </w:rPr>
              <w:t xml:space="preserve">   cardiovascular</w:t>
            </w:r>
          </w:p>
        </w:tc>
        <w:tc>
          <w:tcPr>
            <w:tcW w:type="dxa" w:w="1800"/>
          </w:tcPr>
          <w:p>
            <w:pPr>
              <w:spacing w:after="0" w:line="240" w:lineRule="auto"/>
              <w:jc w:val="center"/>
            </w:pPr>
            <w:r/>
            <w:r>
              <w:rPr>
                <w:b w:val="0"/>
                <w:sz w:val="15"/>
              </w:rPr>
              <w:t>−0.004 (−0.005 to −0.003)</w:t>
            </w:r>
          </w:p>
        </w:tc>
        <w:tc>
          <w:tcPr>
            <w:tcW w:type="dxa" w:w="1800"/>
          </w:tcPr>
          <w:p>
            <w:pPr>
              <w:spacing w:after="0" w:line="240" w:lineRule="auto"/>
              <w:jc w:val="center"/>
            </w:pPr>
            <w:r/>
            <w:r>
              <w:rPr>
                <w:b w:val="0"/>
                <w:sz w:val="15"/>
              </w:rPr>
              <w:t>−0.002 (−0.004 to +0.001)</w:t>
            </w:r>
          </w:p>
        </w:tc>
        <w:tc>
          <w:tcPr>
            <w:tcW w:type="dxa" w:w="1800"/>
          </w:tcPr>
          <w:p>
            <w:pPr>
              <w:spacing w:after="0" w:line="240" w:lineRule="auto"/>
              <w:jc w:val="center"/>
            </w:pPr>
            <w:r/>
            <w:r>
              <w:rPr>
                <w:b w:val="0"/>
                <w:sz w:val="15"/>
              </w:rPr>
              <w:t>−0.004 (−0.007 to 0.000)</w:t>
            </w:r>
          </w:p>
        </w:tc>
        <w:tc>
          <w:tcPr>
            <w:tcW w:type="dxa" w:w="1800"/>
          </w:tcPr>
          <w:p>
            <w:pPr>
              <w:spacing w:after="0" w:line="240" w:lineRule="auto"/>
              <w:jc w:val="center"/>
            </w:pPr>
            <w:r/>
            <w:r>
              <w:rPr>
                <w:b w:val="0"/>
                <w:sz w:val="15"/>
              </w:rPr>
              <w:t>0.000 (−0.003 to +0.003)</w:t>
            </w:r>
          </w:p>
        </w:tc>
      </w:tr>
      <w:tr>
        <w:trPr>
          <w:cantSplit w:val="true"/>
        </w:trPr>
        <w:tc>
          <w:tcPr>
            <w:tcW w:type="dxa" w:w="2448"/>
          </w:tcPr>
          <w:p>
            <w:pPr>
              <w:spacing w:after="0" w:line="240" w:lineRule="auto"/>
            </w:pPr>
            <w:r/>
            <w:r>
              <w:rPr>
                <w:b w:val="0"/>
                <w:sz w:val="15"/>
              </w:rPr>
              <w:t xml:space="preserve">   liver</w:t>
            </w:r>
          </w:p>
        </w:tc>
        <w:tc>
          <w:tcPr>
            <w:tcW w:type="dxa" w:w="1800"/>
          </w:tcPr>
          <w:p>
            <w:pPr>
              <w:spacing w:after="0" w:line="240" w:lineRule="auto"/>
              <w:jc w:val="center"/>
            </w:pPr>
            <w:r/>
            <w:r>
              <w:rPr>
                <w:b w:val="0"/>
                <w:sz w:val="15"/>
              </w:rPr>
              <w:t>0.000 (−0.001 to 0.000)</w:t>
            </w:r>
          </w:p>
        </w:tc>
        <w:tc>
          <w:tcPr>
            <w:tcW w:type="dxa" w:w="1800"/>
          </w:tcPr>
          <w:p>
            <w:pPr>
              <w:spacing w:after="0" w:line="240" w:lineRule="auto"/>
              <w:jc w:val="center"/>
            </w:pPr>
            <w:r/>
            <w:r>
              <w:rPr>
                <w:b w:val="0"/>
                <w:sz w:val="15"/>
              </w:rPr>
              <w:t>−0.001 (−0.001 to 0.000)</w:t>
            </w:r>
          </w:p>
        </w:tc>
        <w:tc>
          <w:tcPr>
            <w:tcW w:type="dxa" w:w="1800"/>
          </w:tcPr>
          <w:p>
            <w:pPr>
              <w:spacing w:after="0" w:line="240" w:lineRule="auto"/>
              <w:jc w:val="center"/>
            </w:pPr>
            <w:r/>
            <w:r>
              <w:rPr>
                <w:b w:val="0"/>
                <w:sz w:val="15"/>
              </w:rPr>
              <w:t>+0.001 (0.000 to +0.002)</w:t>
            </w:r>
          </w:p>
        </w:tc>
        <w:tc>
          <w:tcPr>
            <w:tcW w:type="dxa" w:w="1800"/>
          </w:tcPr>
          <w:p>
            <w:pPr>
              <w:spacing w:after="0" w:line="240" w:lineRule="auto"/>
              <w:jc w:val="center"/>
            </w:pPr>
            <w:r/>
            <w:r>
              <w:rPr>
                <w:b w:val="0"/>
                <w:sz w:val="15"/>
              </w:rPr>
              <w:t>0.000 (−0.001 to +0.001)</w:t>
            </w:r>
          </w:p>
        </w:tc>
      </w:tr>
      <w:tr>
        <w:trPr>
          <w:cantSplit w:val="true"/>
        </w:trPr>
        <w:tc>
          <w:tcPr>
            <w:tcW w:type="dxa" w:w="2448"/>
          </w:tcPr>
          <w:p>
            <w:pPr>
              <w:spacing w:after="0" w:line="240" w:lineRule="auto"/>
            </w:pPr>
            <w:r/>
            <w:r>
              <w:rPr>
                <w:b w:val="0"/>
                <w:sz w:val="15"/>
              </w:rPr>
              <w:t xml:space="preserve">   kidney</w:t>
            </w:r>
          </w:p>
        </w:tc>
        <w:tc>
          <w:tcPr>
            <w:tcW w:type="dxa" w:w="1800"/>
          </w:tcPr>
          <w:p>
            <w:pPr>
              <w:spacing w:after="0" w:line="240" w:lineRule="auto"/>
              <w:jc w:val="center"/>
            </w:pPr>
            <w:r/>
            <w:r>
              <w:rPr>
                <w:b w:val="0"/>
                <w:sz w:val="15"/>
              </w:rPr>
              <w:t>−0.004 (−0.006 to −0.003)</w:t>
            </w:r>
          </w:p>
        </w:tc>
        <w:tc>
          <w:tcPr>
            <w:tcW w:type="dxa" w:w="1800"/>
          </w:tcPr>
          <w:p>
            <w:pPr>
              <w:spacing w:after="0" w:line="240" w:lineRule="auto"/>
              <w:jc w:val="center"/>
            </w:pPr>
            <w:r/>
            <w:r>
              <w:rPr>
                <w:b w:val="0"/>
                <w:sz w:val="15"/>
              </w:rPr>
              <w:t>+0.004 (+0.001 to +0.007)</w:t>
            </w:r>
          </w:p>
        </w:tc>
        <w:tc>
          <w:tcPr>
            <w:tcW w:type="dxa" w:w="1800"/>
          </w:tcPr>
          <w:p>
            <w:pPr>
              <w:spacing w:after="0" w:line="240" w:lineRule="auto"/>
              <w:jc w:val="center"/>
            </w:pPr>
            <w:r/>
            <w:r>
              <w:rPr>
                <w:b w:val="0"/>
                <w:sz w:val="15"/>
              </w:rPr>
              <w:t>+0.002 (−0.004 to +0.007)</w:t>
            </w:r>
          </w:p>
        </w:tc>
        <w:tc>
          <w:tcPr>
            <w:tcW w:type="dxa" w:w="1800"/>
          </w:tcPr>
          <w:p>
            <w:pPr>
              <w:spacing w:after="0" w:line="240" w:lineRule="auto"/>
              <w:jc w:val="center"/>
            </w:pPr>
            <w:r/>
            <w:r>
              <w:rPr>
                <w:b w:val="0"/>
                <w:sz w:val="15"/>
              </w:rPr>
              <w:t>−0.002 (−0.006 to +0.002)</w:t>
            </w:r>
          </w:p>
        </w:tc>
      </w:tr>
      <w:tr>
        <w:trPr>
          <w:cantSplit w:val="true"/>
        </w:trPr>
        <w:tc>
          <w:tcPr>
            <w:tcW w:type="dxa" w:w="2448"/>
          </w:tcPr>
          <w:p>
            <w:pPr>
              <w:spacing w:after="0" w:line="240" w:lineRule="auto"/>
            </w:pPr>
            <w:r/>
            <w:r>
              <w:rPr>
                <w:b w:val="0"/>
                <w:sz w:val="15"/>
              </w:rPr>
              <w:t xml:space="preserve">   hemostasis</w:t>
            </w:r>
          </w:p>
        </w:tc>
        <w:tc>
          <w:tcPr>
            <w:tcW w:type="dxa" w:w="1800"/>
          </w:tcPr>
          <w:p>
            <w:pPr>
              <w:spacing w:after="0" w:line="240" w:lineRule="auto"/>
              <w:jc w:val="center"/>
            </w:pPr>
            <w:r/>
            <w:r>
              <w:rPr>
                <w:b w:val="0"/>
                <w:sz w:val="15"/>
              </w:rPr>
              <w:t>−0.001 (−0.002 to −0.001)</w:t>
            </w:r>
          </w:p>
        </w:tc>
        <w:tc>
          <w:tcPr>
            <w:tcW w:type="dxa" w:w="1800"/>
          </w:tcPr>
          <w:p>
            <w:pPr>
              <w:spacing w:after="0" w:line="240" w:lineRule="auto"/>
              <w:jc w:val="center"/>
            </w:pPr>
            <w:r/>
            <w:r>
              <w:rPr>
                <w:b w:val="0"/>
                <w:sz w:val="15"/>
              </w:rPr>
              <w:t>0.000 (0.000 to +0.001)</w:t>
            </w:r>
          </w:p>
        </w:tc>
        <w:tc>
          <w:tcPr>
            <w:tcW w:type="dxa" w:w="1800"/>
          </w:tcPr>
          <w:p>
            <w:pPr>
              <w:spacing w:after="0" w:line="240" w:lineRule="auto"/>
              <w:jc w:val="center"/>
            </w:pPr>
            <w:r/>
            <w:r>
              <w:rPr>
                <w:b w:val="0"/>
                <w:sz w:val="15"/>
              </w:rPr>
              <w:t>0.000 (−0.001 to +0.001)</w:t>
            </w:r>
          </w:p>
        </w:tc>
        <w:tc>
          <w:tcPr>
            <w:tcW w:type="dxa" w:w="1800"/>
          </w:tcPr>
          <w:p>
            <w:pPr>
              <w:spacing w:after="0" w:line="240" w:lineRule="auto"/>
              <w:jc w:val="center"/>
            </w:pPr>
            <w:r/>
            <w:r>
              <w:rPr>
                <w:b w:val="0"/>
                <w:sz w:val="15"/>
              </w:rPr>
              <w:t>−0.002 (−0.003 to −0.001)</w:t>
            </w:r>
          </w:p>
        </w:tc>
      </w:tr>
    </w:tbl>
    <w:p>
      <w:pPr>
        <w:spacing w:after="40"/>
      </w:pPr>
    </w:p>
    <w:p>
      <w:pPr>
        <w:keepNext/>
        <w:spacing w:after="60"/>
      </w:pPr>
      <w:r>
        <w:rPr>
          <w:b/>
          <w:sz w:val="19"/>
        </w:rPr>
        <w:t xml:space="preserve">Supplementary Table S4. </w:t>
      </w:r>
      <w:r>
        <w:rPr>
          <w:sz w:val="19"/>
        </w:rPr>
        <w:t>Paired respiratory scoring: SpO2/FiO2-derived minus PaO2/FiO2-derived SOFA-2 respiratory points (pairs within 10 minutes, SpO2 below 98%, same FiO2), by group. Exploratory. Mean difference with patient-level bootstrap 95% CI.</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cantSplit w:val="true"/>
        </w:trPr>
        <w:tc>
          <w:tcPr>
            <w:tcW w:type="dxa" w:w="2592"/>
            <w:shd w:val="clear" w:color="auto" w:fill="D9E2F3"/>
          </w:tcPr>
          <w:p>
            <w:pPr>
              <w:spacing w:after="0" w:line="240" w:lineRule="auto"/>
            </w:pPr>
            <w:r/>
            <w:r>
              <w:rPr>
                <w:b/>
                <w:sz w:val="15"/>
              </w:rPr>
              <w:t>Group</w:t>
            </w:r>
          </w:p>
        </w:tc>
        <w:tc>
          <w:tcPr>
            <w:tcW w:type="dxa" w:w="936"/>
            <w:shd w:val="clear" w:color="auto" w:fill="D9E2F3"/>
          </w:tcPr>
          <w:p>
            <w:pPr>
              <w:spacing w:after="0" w:line="240" w:lineRule="auto"/>
              <w:jc w:val="center"/>
            </w:pPr>
            <w:r/>
            <w:r>
              <w:rPr>
                <w:b/>
                <w:sz w:val="15"/>
              </w:rPr>
              <w:t>Stays</w:t>
            </w:r>
          </w:p>
        </w:tc>
        <w:tc>
          <w:tcPr>
            <w:tcW w:type="dxa" w:w="1224"/>
            <w:shd w:val="clear" w:color="auto" w:fill="D9E2F3"/>
          </w:tcPr>
          <w:p>
            <w:pPr>
              <w:spacing w:after="0" w:line="240" w:lineRule="auto"/>
              <w:jc w:val="center"/>
            </w:pPr>
            <w:r/>
            <w:r>
              <w:rPr>
                <w:b/>
                <w:sz w:val="15"/>
              </w:rPr>
              <w:t>Respiratory score from SpO2 only</w:t>
            </w:r>
          </w:p>
        </w:tc>
        <w:tc>
          <w:tcPr>
            <w:tcW w:type="dxa" w:w="936"/>
            <w:shd w:val="clear" w:color="auto" w:fill="D9E2F3"/>
          </w:tcPr>
          <w:p>
            <w:pPr>
              <w:spacing w:after="0" w:line="240" w:lineRule="auto"/>
              <w:jc w:val="center"/>
            </w:pPr>
            <w:r/>
            <w:r>
              <w:rPr>
                <w:b/>
                <w:sz w:val="15"/>
              </w:rPr>
              <w:t>Stays with pairs</w:t>
            </w:r>
          </w:p>
        </w:tc>
        <w:tc>
          <w:tcPr>
            <w:tcW w:type="dxa" w:w="720"/>
            <w:shd w:val="clear" w:color="auto" w:fill="D9E2F3"/>
          </w:tcPr>
          <w:p>
            <w:pPr>
              <w:spacing w:after="0" w:line="240" w:lineRule="auto"/>
              <w:jc w:val="center"/>
            </w:pPr>
            <w:r/>
            <w:r>
              <w:rPr>
                <w:b/>
                <w:sz w:val="15"/>
              </w:rPr>
              <w:t>Pairs</w:t>
            </w:r>
          </w:p>
        </w:tc>
        <w:tc>
          <w:tcPr>
            <w:tcW w:type="dxa" w:w="1872"/>
            <w:shd w:val="clear" w:color="auto" w:fill="D9E2F3"/>
          </w:tcPr>
          <w:p>
            <w:pPr>
              <w:spacing w:after="0" w:line="240" w:lineRule="auto"/>
              <w:jc w:val="center"/>
            </w:pPr>
            <w:r/>
            <w:r>
              <w:rPr>
                <w:b/>
                <w:sz w:val="15"/>
              </w:rPr>
              <w:t>Mean difference (95% CI)</w:t>
            </w:r>
          </w:p>
        </w:tc>
        <w:tc>
          <w:tcPr>
            <w:tcW w:type="dxa" w:w="1296"/>
            <w:shd w:val="clear" w:color="auto" w:fill="D9E2F3"/>
          </w:tcPr>
          <w:p>
            <w:pPr>
              <w:spacing w:after="0" w:line="240" w:lineRule="auto"/>
              <w:jc w:val="center"/>
            </w:pPr>
            <w:r/>
            <w:r>
              <w:rPr>
                <w:b/>
                <w:sz w:val="15"/>
              </w:rPr>
              <w:t>SpO2 route lower / higher</w:t>
            </w:r>
          </w:p>
        </w:tc>
      </w:tr>
      <w:tr>
        <w:trPr>
          <w:cantSplit w:val="true"/>
        </w:trPr>
        <w:tc>
          <w:tcPr>
            <w:tcW w:type="dxa" w:w="2592"/>
          </w:tcPr>
          <w:p>
            <w:pPr>
              <w:spacing w:after="0" w:line="240" w:lineRule="auto"/>
            </w:pPr>
            <w:r/>
            <w:r>
              <w:rPr>
                <w:b w:val="0"/>
                <w:sz w:val="15"/>
              </w:rPr>
              <w:t>Sex: Male</w:t>
            </w:r>
          </w:p>
        </w:tc>
        <w:tc>
          <w:tcPr>
            <w:tcW w:type="dxa" w:w="936"/>
          </w:tcPr>
          <w:p>
            <w:pPr>
              <w:spacing w:after="0" w:line="240" w:lineRule="auto"/>
              <w:jc w:val="center"/>
            </w:pPr>
            <w:r/>
            <w:r>
              <w:rPr>
                <w:b w:val="0"/>
                <w:sz w:val="15"/>
              </w:rPr>
              <w:t>47,520</w:t>
            </w:r>
          </w:p>
        </w:tc>
        <w:tc>
          <w:tcPr>
            <w:tcW w:type="dxa" w:w="1224"/>
          </w:tcPr>
          <w:p>
            <w:pPr>
              <w:spacing w:after="0" w:line="240" w:lineRule="auto"/>
              <w:jc w:val="center"/>
            </w:pPr>
            <w:r/>
            <w:r>
              <w:rPr>
                <w:b w:val="0"/>
                <w:sz w:val="15"/>
              </w:rPr>
              <w:t>11.6%</w:t>
            </w:r>
          </w:p>
        </w:tc>
        <w:tc>
          <w:tcPr>
            <w:tcW w:type="dxa" w:w="936"/>
          </w:tcPr>
          <w:p>
            <w:pPr>
              <w:spacing w:after="0" w:line="240" w:lineRule="auto"/>
              <w:jc w:val="center"/>
            </w:pPr>
            <w:r/>
            <w:r>
              <w:rPr>
                <w:b w:val="0"/>
                <w:sz w:val="15"/>
              </w:rPr>
              <w:t>5,297</w:t>
            </w:r>
          </w:p>
        </w:tc>
        <w:tc>
          <w:tcPr>
            <w:tcW w:type="dxa" w:w="720"/>
          </w:tcPr>
          <w:p>
            <w:pPr>
              <w:spacing w:after="0" w:line="240" w:lineRule="auto"/>
              <w:jc w:val="center"/>
            </w:pPr>
            <w:r/>
            <w:r>
              <w:rPr>
                <w:b w:val="0"/>
                <w:sz w:val="15"/>
              </w:rPr>
              <w:t>8,400</w:t>
            </w:r>
          </w:p>
        </w:tc>
        <w:tc>
          <w:tcPr>
            <w:tcW w:type="dxa" w:w="1872"/>
          </w:tcPr>
          <w:p>
            <w:pPr>
              <w:spacing w:after="0" w:line="240" w:lineRule="auto"/>
              <w:jc w:val="center"/>
            </w:pPr>
            <w:r/>
            <w:r>
              <w:rPr>
                <w:b w:val="0"/>
                <w:sz w:val="15"/>
              </w:rPr>
              <w:t>0.74 (0.71 to 0.76)</w:t>
            </w:r>
          </w:p>
        </w:tc>
        <w:tc>
          <w:tcPr>
            <w:tcW w:type="dxa" w:w="1296"/>
          </w:tcPr>
          <w:p>
            <w:pPr>
              <w:spacing w:after="0" w:line="240" w:lineRule="auto"/>
              <w:jc w:val="center"/>
            </w:pPr>
            <w:r/>
            <w:r>
              <w:rPr>
                <w:b w:val="0"/>
                <w:sz w:val="15"/>
              </w:rPr>
              <w:t>2.0% / 52.4%</w:t>
            </w:r>
          </w:p>
        </w:tc>
      </w:tr>
      <w:tr>
        <w:trPr>
          <w:cantSplit w:val="true"/>
        </w:trPr>
        <w:tc>
          <w:tcPr>
            <w:tcW w:type="dxa" w:w="2592"/>
          </w:tcPr>
          <w:p>
            <w:pPr>
              <w:spacing w:after="0" w:line="240" w:lineRule="auto"/>
            </w:pPr>
            <w:r/>
            <w:r>
              <w:rPr>
                <w:b w:val="0"/>
                <w:sz w:val="15"/>
              </w:rPr>
              <w:t>Sex: Female</w:t>
            </w:r>
          </w:p>
        </w:tc>
        <w:tc>
          <w:tcPr>
            <w:tcW w:type="dxa" w:w="936"/>
          </w:tcPr>
          <w:p>
            <w:pPr>
              <w:spacing w:after="0" w:line="240" w:lineRule="auto"/>
              <w:jc w:val="center"/>
            </w:pPr>
            <w:r/>
            <w:r>
              <w:rPr>
                <w:b w:val="0"/>
                <w:sz w:val="15"/>
              </w:rPr>
              <w:t>37,708</w:t>
            </w:r>
          </w:p>
        </w:tc>
        <w:tc>
          <w:tcPr>
            <w:tcW w:type="dxa" w:w="1224"/>
          </w:tcPr>
          <w:p>
            <w:pPr>
              <w:spacing w:after="0" w:line="240" w:lineRule="auto"/>
              <w:jc w:val="center"/>
            </w:pPr>
            <w:r/>
            <w:r>
              <w:rPr>
                <w:b w:val="0"/>
                <w:sz w:val="15"/>
              </w:rPr>
              <w:t>11.7%</w:t>
            </w:r>
          </w:p>
        </w:tc>
        <w:tc>
          <w:tcPr>
            <w:tcW w:type="dxa" w:w="936"/>
          </w:tcPr>
          <w:p>
            <w:pPr>
              <w:spacing w:after="0" w:line="240" w:lineRule="auto"/>
              <w:jc w:val="center"/>
            </w:pPr>
            <w:r/>
            <w:r>
              <w:rPr>
                <w:b w:val="0"/>
                <w:sz w:val="15"/>
              </w:rPr>
              <w:t>3,019</w:t>
            </w:r>
          </w:p>
        </w:tc>
        <w:tc>
          <w:tcPr>
            <w:tcW w:type="dxa" w:w="720"/>
          </w:tcPr>
          <w:p>
            <w:pPr>
              <w:spacing w:after="0" w:line="240" w:lineRule="auto"/>
              <w:jc w:val="center"/>
            </w:pPr>
            <w:r/>
            <w:r>
              <w:rPr>
                <w:b w:val="0"/>
                <w:sz w:val="15"/>
              </w:rPr>
              <w:t>4,712</w:t>
            </w:r>
          </w:p>
        </w:tc>
        <w:tc>
          <w:tcPr>
            <w:tcW w:type="dxa" w:w="1872"/>
          </w:tcPr>
          <w:p>
            <w:pPr>
              <w:spacing w:after="0" w:line="240" w:lineRule="auto"/>
              <w:jc w:val="center"/>
            </w:pPr>
            <w:r/>
            <w:r>
              <w:rPr>
                <w:b w:val="0"/>
                <w:sz w:val="15"/>
              </w:rPr>
              <w:t>0.67 (0.63 to 0.70)</w:t>
            </w:r>
          </w:p>
        </w:tc>
        <w:tc>
          <w:tcPr>
            <w:tcW w:type="dxa" w:w="1296"/>
          </w:tcPr>
          <w:p>
            <w:pPr>
              <w:spacing w:after="0" w:line="240" w:lineRule="auto"/>
              <w:jc w:val="center"/>
            </w:pPr>
            <w:r/>
            <w:r>
              <w:rPr>
                <w:b w:val="0"/>
                <w:sz w:val="15"/>
              </w:rPr>
              <w:t>3.6% / 49.3%</w:t>
            </w:r>
          </w:p>
        </w:tc>
      </w:tr>
      <w:tr>
        <w:trPr>
          <w:cantSplit w:val="true"/>
        </w:trPr>
        <w:tc>
          <w:tcPr>
            <w:tcW w:type="dxa" w:w="2592"/>
          </w:tcPr>
          <w:p>
            <w:pPr>
              <w:spacing w:after="0" w:line="240" w:lineRule="auto"/>
            </w:pPr>
            <w:r/>
            <w:r>
              <w:rPr>
                <w:b w:val="0"/>
                <w:sz w:val="15"/>
              </w:rPr>
              <w:t>Race: White</w:t>
            </w:r>
          </w:p>
        </w:tc>
        <w:tc>
          <w:tcPr>
            <w:tcW w:type="dxa" w:w="936"/>
          </w:tcPr>
          <w:p>
            <w:pPr>
              <w:spacing w:after="0" w:line="240" w:lineRule="auto"/>
              <w:jc w:val="center"/>
            </w:pPr>
            <w:r/>
            <w:r>
              <w:rPr>
                <w:b w:val="0"/>
                <w:sz w:val="15"/>
              </w:rPr>
              <w:t>56,537</w:t>
            </w:r>
          </w:p>
        </w:tc>
        <w:tc>
          <w:tcPr>
            <w:tcW w:type="dxa" w:w="1224"/>
          </w:tcPr>
          <w:p>
            <w:pPr>
              <w:spacing w:after="0" w:line="240" w:lineRule="auto"/>
              <w:jc w:val="center"/>
            </w:pPr>
            <w:r/>
            <w:r>
              <w:rPr>
                <w:b w:val="0"/>
                <w:sz w:val="15"/>
              </w:rPr>
              <w:t>11.5%</w:t>
            </w:r>
          </w:p>
        </w:tc>
        <w:tc>
          <w:tcPr>
            <w:tcW w:type="dxa" w:w="936"/>
          </w:tcPr>
          <w:p>
            <w:pPr>
              <w:spacing w:after="0" w:line="240" w:lineRule="auto"/>
              <w:jc w:val="center"/>
            </w:pPr>
            <w:r/>
            <w:r>
              <w:rPr>
                <w:b w:val="0"/>
                <w:sz w:val="15"/>
              </w:rPr>
              <w:t>5,542</w:t>
            </w:r>
          </w:p>
        </w:tc>
        <w:tc>
          <w:tcPr>
            <w:tcW w:type="dxa" w:w="720"/>
          </w:tcPr>
          <w:p>
            <w:pPr>
              <w:spacing w:after="0" w:line="240" w:lineRule="auto"/>
              <w:jc w:val="center"/>
            </w:pPr>
            <w:r/>
            <w:r>
              <w:rPr>
                <w:b w:val="0"/>
                <w:sz w:val="15"/>
              </w:rPr>
              <w:t>8,701</w:t>
            </w:r>
          </w:p>
        </w:tc>
        <w:tc>
          <w:tcPr>
            <w:tcW w:type="dxa" w:w="1872"/>
          </w:tcPr>
          <w:p>
            <w:pPr>
              <w:spacing w:after="0" w:line="240" w:lineRule="auto"/>
              <w:jc w:val="center"/>
            </w:pPr>
            <w:r/>
            <w:r>
              <w:rPr>
                <w:b w:val="0"/>
                <w:sz w:val="15"/>
              </w:rPr>
              <w:t>0.74 (0.72 to 0.77)</w:t>
            </w:r>
          </w:p>
        </w:tc>
        <w:tc>
          <w:tcPr>
            <w:tcW w:type="dxa" w:w="1296"/>
          </w:tcPr>
          <w:p>
            <w:pPr>
              <w:spacing w:after="0" w:line="240" w:lineRule="auto"/>
              <w:jc w:val="center"/>
            </w:pPr>
            <w:r/>
            <w:r>
              <w:rPr>
                <w:b w:val="0"/>
                <w:sz w:val="15"/>
              </w:rPr>
              <w:t>2.4% / 53.4%</w:t>
            </w:r>
          </w:p>
        </w:tc>
      </w:tr>
      <w:tr>
        <w:trPr>
          <w:cantSplit w:val="true"/>
        </w:trPr>
        <w:tc>
          <w:tcPr>
            <w:tcW w:type="dxa" w:w="2592"/>
          </w:tcPr>
          <w:p>
            <w:pPr>
              <w:spacing w:after="0" w:line="240" w:lineRule="auto"/>
            </w:pPr>
            <w:r/>
            <w:r>
              <w:rPr>
                <w:b w:val="0"/>
                <w:sz w:val="15"/>
              </w:rPr>
              <w:t>Race: Black</w:t>
            </w:r>
          </w:p>
        </w:tc>
        <w:tc>
          <w:tcPr>
            <w:tcW w:type="dxa" w:w="936"/>
          </w:tcPr>
          <w:p>
            <w:pPr>
              <w:spacing w:after="0" w:line="240" w:lineRule="auto"/>
              <w:jc w:val="center"/>
            </w:pPr>
            <w:r/>
            <w:r>
              <w:rPr>
                <w:b w:val="0"/>
                <w:sz w:val="15"/>
              </w:rPr>
              <w:t>9,364</w:t>
            </w:r>
          </w:p>
        </w:tc>
        <w:tc>
          <w:tcPr>
            <w:tcW w:type="dxa" w:w="1224"/>
          </w:tcPr>
          <w:p>
            <w:pPr>
              <w:spacing w:after="0" w:line="240" w:lineRule="auto"/>
              <w:jc w:val="center"/>
            </w:pPr>
            <w:r/>
            <w:r>
              <w:rPr>
                <w:b w:val="0"/>
                <w:sz w:val="15"/>
              </w:rPr>
              <w:t>10.8%</w:t>
            </w:r>
          </w:p>
        </w:tc>
        <w:tc>
          <w:tcPr>
            <w:tcW w:type="dxa" w:w="936"/>
          </w:tcPr>
          <w:p>
            <w:pPr>
              <w:spacing w:after="0" w:line="240" w:lineRule="auto"/>
              <w:jc w:val="center"/>
            </w:pPr>
            <w:r/>
            <w:r>
              <w:rPr>
                <w:b w:val="0"/>
                <w:sz w:val="15"/>
              </w:rPr>
              <w:t>551</w:t>
            </w:r>
          </w:p>
        </w:tc>
        <w:tc>
          <w:tcPr>
            <w:tcW w:type="dxa" w:w="720"/>
          </w:tcPr>
          <w:p>
            <w:pPr>
              <w:spacing w:after="0" w:line="240" w:lineRule="auto"/>
              <w:jc w:val="center"/>
            </w:pPr>
            <w:r/>
            <w:r>
              <w:rPr>
                <w:b w:val="0"/>
                <w:sz w:val="15"/>
              </w:rPr>
              <w:t>850</w:t>
            </w:r>
          </w:p>
        </w:tc>
        <w:tc>
          <w:tcPr>
            <w:tcW w:type="dxa" w:w="1872"/>
          </w:tcPr>
          <w:p>
            <w:pPr>
              <w:spacing w:after="0" w:line="240" w:lineRule="auto"/>
              <w:jc w:val="center"/>
            </w:pPr>
            <w:r/>
            <w:r>
              <w:rPr>
                <w:b w:val="0"/>
                <w:sz w:val="15"/>
              </w:rPr>
              <w:t>0.52 (0.44 to 0.59)</w:t>
            </w:r>
          </w:p>
        </w:tc>
        <w:tc>
          <w:tcPr>
            <w:tcW w:type="dxa" w:w="1296"/>
          </w:tcPr>
          <w:p>
            <w:pPr>
              <w:spacing w:after="0" w:line="240" w:lineRule="auto"/>
              <w:jc w:val="center"/>
            </w:pPr>
            <w:r/>
            <w:r>
              <w:rPr>
                <w:b w:val="0"/>
                <w:sz w:val="15"/>
              </w:rPr>
              <w:t>6.6% / 40.7%</w:t>
            </w:r>
          </w:p>
        </w:tc>
      </w:tr>
      <w:tr>
        <w:trPr>
          <w:cantSplit w:val="true"/>
        </w:trPr>
        <w:tc>
          <w:tcPr>
            <w:tcW w:type="dxa" w:w="2592"/>
          </w:tcPr>
          <w:p>
            <w:pPr>
              <w:spacing w:after="0" w:line="240" w:lineRule="auto"/>
            </w:pPr>
            <w:r/>
            <w:r>
              <w:rPr>
                <w:b w:val="0"/>
                <w:sz w:val="15"/>
              </w:rPr>
              <w:t>Race: Hispanic/Latino</w:t>
            </w:r>
          </w:p>
        </w:tc>
        <w:tc>
          <w:tcPr>
            <w:tcW w:type="dxa" w:w="936"/>
          </w:tcPr>
          <w:p>
            <w:pPr>
              <w:spacing w:after="0" w:line="240" w:lineRule="auto"/>
              <w:jc w:val="center"/>
            </w:pPr>
            <w:r/>
            <w:r>
              <w:rPr>
                <w:b w:val="0"/>
                <w:sz w:val="15"/>
              </w:rPr>
              <w:t>3,291</w:t>
            </w:r>
          </w:p>
        </w:tc>
        <w:tc>
          <w:tcPr>
            <w:tcW w:type="dxa" w:w="1224"/>
          </w:tcPr>
          <w:p>
            <w:pPr>
              <w:spacing w:after="0" w:line="240" w:lineRule="auto"/>
              <w:jc w:val="center"/>
            </w:pPr>
            <w:r/>
            <w:r>
              <w:rPr>
                <w:b w:val="0"/>
                <w:sz w:val="15"/>
              </w:rPr>
              <w:t>11.3%</w:t>
            </w:r>
          </w:p>
        </w:tc>
        <w:tc>
          <w:tcPr>
            <w:tcW w:type="dxa" w:w="936"/>
          </w:tcPr>
          <w:p>
            <w:pPr>
              <w:spacing w:after="0" w:line="240" w:lineRule="auto"/>
              <w:jc w:val="center"/>
            </w:pPr>
            <w:r/>
            <w:r>
              <w:rPr>
                <w:b w:val="0"/>
                <w:sz w:val="15"/>
              </w:rPr>
              <w:t>272</w:t>
            </w:r>
          </w:p>
        </w:tc>
        <w:tc>
          <w:tcPr>
            <w:tcW w:type="dxa" w:w="720"/>
          </w:tcPr>
          <w:p>
            <w:pPr>
              <w:spacing w:after="0" w:line="240" w:lineRule="auto"/>
              <w:jc w:val="center"/>
            </w:pPr>
            <w:r/>
            <w:r>
              <w:rPr>
                <w:b w:val="0"/>
                <w:sz w:val="15"/>
              </w:rPr>
              <w:t>398</w:t>
            </w:r>
          </w:p>
        </w:tc>
        <w:tc>
          <w:tcPr>
            <w:tcW w:type="dxa" w:w="1872"/>
          </w:tcPr>
          <w:p>
            <w:pPr>
              <w:spacing w:after="0" w:line="240" w:lineRule="auto"/>
              <w:jc w:val="center"/>
            </w:pPr>
            <w:r/>
            <w:r>
              <w:rPr>
                <w:b w:val="0"/>
                <w:sz w:val="15"/>
              </w:rPr>
              <w:t>0.66 (0.56 to 0.77)</w:t>
            </w:r>
          </w:p>
        </w:tc>
        <w:tc>
          <w:tcPr>
            <w:tcW w:type="dxa" w:w="1296"/>
          </w:tcPr>
          <w:p>
            <w:pPr>
              <w:spacing w:after="0" w:line="240" w:lineRule="auto"/>
              <w:jc w:val="center"/>
            </w:pPr>
            <w:r/>
            <w:r>
              <w:rPr>
                <w:b w:val="0"/>
                <w:sz w:val="15"/>
              </w:rPr>
              <w:t>3.3% / 47.2%</w:t>
            </w:r>
          </w:p>
        </w:tc>
      </w:tr>
      <w:tr>
        <w:trPr>
          <w:cantSplit w:val="true"/>
        </w:trPr>
        <w:tc>
          <w:tcPr>
            <w:tcW w:type="dxa" w:w="2592"/>
          </w:tcPr>
          <w:p>
            <w:pPr>
              <w:spacing w:after="0" w:line="240" w:lineRule="auto"/>
            </w:pPr>
            <w:r/>
            <w:r>
              <w:rPr>
                <w:b w:val="0"/>
                <w:sz w:val="15"/>
              </w:rPr>
              <w:t>Race: Asian</w:t>
            </w:r>
          </w:p>
        </w:tc>
        <w:tc>
          <w:tcPr>
            <w:tcW w:type="dxa" w:w="936"/>
          </w:tcPr>
          <w:p>
            <w:pPr>
              <w:spacing w:after="0" w:line="240" w:lineRule="auto"/>
              <w:jc w:val="center"/>
            </w:pPr>
            <w:r/>
            <w:r>
              <w:rPr>
                <w:b w:val="0"/>
                <w:sz w:val="15"/>
              </w:rPr>
              <w:t>2,617</w:t>
            </w:r>
          </w:p>
        </w:tc>
        <w:tc>
          <w:tcPr>
            <w:tcW w:type="dxa" w:w="1224"/>
          </w:tcPr>
          <w:p>
            <w:pPr>
              <w:spacing w:after="0" w:line="240" w:lineRule="auto"/>
              <w:jc w:val="center"/>
            </w:pPr>
            <w:r/>
            <w:r>
              <w:rPr>
                <w:b w:val="0"/>
                <w:sz w:val="15"/>
              </w:rPr>
              <w:t>9.9%</w:t>
            </w:r>
          </w:p>
        </w:tc>
        <w:tc>
          <w:tcPr>
            <w:tcW w:type="dxa" w:w="936"/>
          </w:tcPr>
          <w:p>
            <w:pPr>
              <w:spacing w:after="0" w:line="240" w:lineRule="auto"/>
              <w:jc w:val="center"/>
            </w:pPr>
            <w:r/>
            <w:r>
              <w:rPr>
                <w:b w:val="0"/>
                <w:sz w:val="15"/>
              </w:rPr>
              <w:t>180</w:t>
            </w:r>
          </w:p>
        </w:tc>
        <w:tc>
          <w:tcPr>
            <w:tcW w:type="dxa" w:w="720"/>
          </w:tcPr>
          <w:p>
            <w:pPr>
              <w:spacing w:after="0" w:line="240" w:lineRule="auto"/>
              <w:jc w:val="center"/>
            </w:pPr>
            <w:r/>
            <w:r>
              <w:rPr>
                <w:b w:val="0"/>
                <w:sz w:val="15"/>
              </w:rPr>
              <w:t>268</w:t>
            </w:r>
          </w:p>
        </w:tc>
        <w:tc>
          <w:tcPr>
            <w:tcW w:type="dxa" w:w="1872"/>
          </w:tcPr>
          <w:p>
            <w:pPr>
              <w:spacing w:after="0" w:line="240" w:lineRule="auto"/>
              <w:jc w:val="center"/>
            </w:pPr>
            <w:r/>
            <w:r>
              <w:rPr>
                <w:b w:val="0"/>
                <w:sz w:val="15"/>
              </w:rPr>
              <w:t>0.67 (0.54 to 0.82)</w:t>
            </w:r>
          </w:p>
        </w:tc>
        <w:tc>
          <w:tcPr>
            <w:tcW w:type="dxa" w:w="1296"/>
          </w:tcPr>
          <w:p>
            <w:pPr>
              <w:spacing w:after="0" w:line="240" w:lineRule="auto"/>
              <w:jc w:val="center"/>
            </w:pPr>
            <w:r/>
            <w:r>
              <w:rPr>
                <w:b w:val="0"/>
                <w:sz w:val="15"/>
              </w:rPr>
              <w:t>3.4% / 48.1%</w:t>
            </w:r>
          </w:p>
        </w:tc>
      </w:tr>
      <w:tr>
        <w:trPr>
          <w:cantSplit w:val="true"/>
        </w:trPr>
        <w:tc>
          <w:tcPr>
            <w:tcW w:type="dxa" w:w="2592"/>
          </w:tcPr>
          <w:p>
            <w:pPr>
              <w:spacing w:after="0" w:line="240" w:lineRule="auto"/>
            </w:pPr>
            <w:r/>
            <w:r>
              <w:rPr>
                <w:b w:val="0"/>
                <w:sz w:val="15"/>
              </w:rPr>
              <w:t>Race: Other</w:t>
            </w:r>
          </w:p>
        </w:tc>
        <w:tc>
          <w:tcPr>
            <w:tcW w:type="dxa" w:w="936"/>
          </w:tcPr>
          <w:p>
            <w:pPr>
              <w:spacing w:after="0" w:line="240" w:lineRule="auto"/>
              <w:jc w:val="center"/>
            </w:pPr>
            <w:r/>
            <w:r>
              <w:rPr>
                <w:b w:val="0"/>
                <w:sz w:val="15"/>
              </w:rPr>
              <w:t>3,651</w:t>
            </w:r>
          </w:p>
        </w:tc>
        <w:tc>
          <w:tcPr>
            <w:tcW w:type="dxa" w:w="1224"/>
          </w:tcPr>
          <w:p>
            <w:pPr>
              <w:spacing w:after="0" w:line="240" w:lineRule="auto"/>
              <w:jc w:val="center"/>
            </w:pPr>
            <w:r/>
            <w:r>
              <w:rPr>
                <w:b w:val="0"/>
                <w:sz w:val="15"/>
              </w:rPr>
              <w:t>11.3%</w:t>
            </w:r>
          </w:p>
        </w:tc>
        <w:tc>
          <w:tcPr>
            <w:tcW w:type="dxa" w:w="936"/>
          </w:tcPr>
          <w:p>
            <w:pPr>
              <w:spacing w:after="0" w:line="240" w:lineRule="auto"/>
              <w:jc w:val="center"/>
            </w:pPr>
            <w:r/>
            <w:r>
              <w:rPr>
                <w:b w:val="0"/>
                <w:sz w:val="15"/>
              </w:rPr>
              <w:t>320</w:t>
            </w:r>
          </w:p>
        </w:tc>
        <w:tc>
          <w:tcPr>
            <w:tcW w:type="dxa" w:w="720"/>
          </w:tcPr>
          <w:p>
            <w:pPr>
              <w:spacing w:after="0" w:line="240" w:lineRule="auto"/>
              <w:jc w:val="center"/>
            </w:pPr>
            <w:r/>
            <w:r>
              <w:rPr>
                <w:b w:val="0"/>
                <w:sz w:val="15"/>
              </w:rPr>
              <w:t>520</w:t>
            </w:r>
          </w:p>
        </w:tc>
        <w:tc>
          <w:tcPr>
            <w:tcW w:type="dxa" w:w="1872"/>
          </w:tcPr>
          <w:p>
            <w:pPr>
              <w:spacing w:after="0" w:line="240" w:lineRule="auto"/>
              <w:jc w:val="center"/>
            </w:pPr>
            <w:r/>
            <w:r>
              <w:rPr>
                <w:b w:val="0"/>
                <w:sz w:val="15"/>
              </w:rPr>
              <w:t>0.75 (0.65 to 0.85)</w:t>
            </w:r>
          </w:p>
        </w:tc>
        <w:tc>
          <w:tcPr>
            <w:tcW w:type="dxa" w:w="1296"/>
          </w:tcPr>
          <w:p>
            <w:pPr>
              <w:spacing w:after="0" w:line="240" w:lineRule="auto"/>
              <w:jc w:val="center"/>
            </w:pPr>
            <w:r/>
            <w:r>
              <w:rPr>
                <w:b w:val="0"/>
                <w:sz w:val="15"/>
              </w:rPr>
              <w:t>1.9% / 53.1%</w:t>
            </w:r>
          </w:p>
        </w:tc>
      </w:tr>
      <w:tr>
        <w:trPr>
          <w:cantSplit w:val="true"/>
        </w:trPr>
        <w:tc>
          <w:tcPr>
            <w:tcW w:type="dxa" w:w="2592"/>
          </w:tcPr>
          <w:p>
            <w:pPr>
              <w:spacing w:after="0" w:line="240" w:lineRule="auto"/>
            </w:pPr>
            <w:r/>
            <w:r>
              <w:rPr>
                <w:b w:val="0"/>
                <w:sz w:val="15"/>
              </w:rPr>
              <w:t>Race: Unknown/Declined</w:t>
            </w:r>
          </w:p>
        </w:tc>
        <w:tc>
          <w:tcPr>
            <w:tcW w:type="dxa" w:w="936"/>
          </w:tcPr>
          <w:p>
            <w:pPr>
              <w:spacing w:after="0" w:line="240" w:lineRule="auto"/>
              <w:jc w:val="center"/>
            </w:pPr>
            <w:r/>
            <w:r>
              <w:rPr>
                <w:b w:val="0"/>
                <w:sz w:val="15"/>
              </w:rPr>
              <w:t>9,768</w:t>
            </w:r>
          </w:p>
        </w:tc>
        <w:tc>
          <w:tcPr>
            <w:tcW w:type="dxa" w:w="1224"/>
          </w:tcPr>
          <w:p>
            <w:pPr>
              <w:spacing w:after="0" w:line="240" w:lineRule="auto"/>
              <w:jc w:val="center"/>
            </w:pPr>
            <w:r/>
            <w:r>
              <w:rPr>
                <w:b w:val="0"/>
                <w:sz w:val="15"/>
              </w:rPr>
              <w:t>14.1%</w:t>
            </w:r>
          </w:p>
        </w:tc>
        <w:tc>
          <w:tcPr>
            <w:tcW w:type="dxa" w:w="936"/>
          </w:tcPr>
          <w:p>
            <w:pPr>
              <w:spacing w:after="0" w:line="240" w:lineRule="auto"/>
              <w:jc w:val="center"/>
            </w:pPr>
            <w:r/>
            <w:r>
              <w:rPr>
                <w:b w:val="0"/>
                <w:sz w:val="15"/>
              </w:rPr>
              <w:t>1,451</w:t>
            </w:r>
          </w:p>
        </w:tc>
        <w:tc>
          <w:tcPr>
            <w:tcW w:type="dxa" w:w="720"/>
          </w:tcPr>
          <w:p>
            <w:pPr>
              <w:spacing w:after="0" w:line="240" w:lineRule="auto"/>
              <w:jc w:val="center"/>
            </w:pPr>
            <w:r/>
            <w:r>
              <w:rPr>
                <w:b w:val="0"/>
                <w:sz w:val="15"/>
              </w:rPr>
              <w:t>2,375</w:t>
            </w:r>
          </w:p>
        </w:tc>
        <w:tc>
          <w:tcPr>
            <w:tcW w:type="dxa" w:w="1872"/>
          </w:tcPr>
          <w:p>
            <w:pPr>
              <w:spacing w:after="0" w:line="240" w:lineRule="auto"/>
              <w:jc w:val="center"/>
            </w:pPr>
            <w:r/>
            <w:r>
              <w:rPr>
                <w:b w:val="0"/>
                <w:sz w:val="15"/>
              </w:rPr>
              <w:t>0.68 (0.63 to 0.72)</w:t>
            </w:r>
          </w:p>
        </w:tc>
        <w:tc>
          <w:tcPr>
            <w:tcW w:type="dxa" w:w="1296"/>
          </w:tcPr>
          <w:p>
            <w:pPr>
              <w:spacing w:after="0" w:line="240" w:lineRule="auto"/>
              <w:jc w:val="center"/>
            </w:pPr>
            <w:r/>
            <w:r>
              <w:rPr>
                <w:b w:val="0"/>
                <w:sz w:val="15"/>
              </w:rPr>
              <w:t>1.7% / 47.8%</w:t>
            </w:r>
          </w:p>
        </w:tc>
      </w:tr>
      <w:tr>
        <w:trPr>
          <w:cantSplit w:val="true"/>
        </w:trPr>
        <w:tc>
          <w:tcPr>
            <w:tcW w:type="dxa" w:w="2592"/>
          </w:tcPr>
          <w:p>
            <w:pPr>
              <w:spacing w:after="0" w:line="240" w:lineRule="auto"/>
            </w:pPr>
            <w:r/>
            <w:r>
              <w:rPr>
                <w:b w:val="0"/>
                <w:sz w:val="15"/>
              </w:rPr>
              <w:t>Insurance: Medicare</w:t>
            </w:r>
          </w:p>
        </w:tc>
        <w:tc>
          <w:tcPr>
            <w:tcW w:type="dxa" w:w="936"/>
          </w:tcPr>
          <w:p>
            <w:pPr>
              <w:spacing w:after="0" w:line="240" w:lineRule="auto"/>
              <w:jc w:val="center"/>
            </w:pPr>
            <w:r/>
            <w:r>
              <w:rPr>
                <w:b w:val="0"/>
                <w:sz w:val="15"/>
              </w:rPr>
              <w:t>46,609</w:t>
            </w:r>
          </w:p>
        </w:tc>
        <w:tc>
          <w:tcPr>
            <w:tcW w:type="dxa" w:w="1224"/>
          </w:tcPr>
          <w:p>
            <w:pPr>
              <w:spacing w:after="0" w:line="240" w:lineRule="auto"/>
              <w:jc w:val="center"/>
            </w:pPr>
            <w:r/>
            <w:r>
              <w:rPr>
                <w:b w:val="0"/>
                <w:sz w:val="15"/>
              </w:rPr>
              <w:t>12.6%</w:t>
            </w:r>
          </w:p>
        </w:tc>
        <w:tc>
          <w:tcPr>
            <w:tcW w:type="dxa" w:w="936"/>
          </w:tcPr>
          <w:p>
            <w:pPr>
              <w:spacing w:after="0" w:line="240" w:lineRule="auto"/>
              <w:jc w:val="center"/>
            </w:pPr>
            <w:r/>
            <w:r>
              <w:rPr>
                <w:b w:val="0"/>
                <w:sz w:val="15"/>
              </w:rPr>
              <w:t>4,630</w:t>
            </w:r>
          </w:p>
        </w:tc>
        <w:tc>
          <w:tcPr>
            <w:tcW w:type="dxa" w:w="720"/>
          </w:tcPr>
          <w:p>
            <w:pPr>
              <w:spacing w:after="0" w:line="240" w:lineRule="auto"/>
              <w:jc w:val="center"/>
            </w:pPr>
            <w:r/>
            <w:r>
              <w:rPr>
                <w:b w:val="0"/>
                <w:sz w:val="15"/>
              </w:rPr>
              <w:t>7,143</w:t>
            </w:r>
          </w:p>
        </w:tc>
        <w:tc>
          <w:tcPr>
            <w:tcW w:type="dxa" w:w="1872"/>
          </w:tcPr>
          <w:p>
            <w:pPr>
              <w:spacing w:after="0" w:line="240" w:lineRule="auto"/>
              <w:jc w:val="center"/>
            </w:pPr>
            <w:r/>
            <w:r>
              <w:rPr>
                <w:b w:val="0"/>
                <w:sz w:val="15"/>
              </w:rPr>
              <w:t>0.70 (0.67 to 0.73)</w:t>
            </w:r>
          </w:p>
        </w:tc>
        <w:tc>
          <w:tcPr>
            <w:tcW w:type="dxa" w:w="1296"/>
          </w:tcPr>
          <w:p>
            <w:pPr>
              <w:spacing w:after="0" w:line="240" w:lineRule="auto"/>
              <w:jc w:val="center"/>
            </w:pPr>
            <w:r/>
            <w:r>
              <w:rPr>
                <w:b w:val="0"/>
                <w:sz w:val="15"/>
              </w:rPr>
              <w:t>2.9% / 52.1%</w:t>
            </w:r>
          </w:p>
        </w:tc>
      </w:tr>
      <w:tr>
        <w:trPr>
          <w:cantSplit w:val="true"/>
        </w:trPr>
        <w:tc>
          <w:tcPr>
            <w:tcW w:type="dxa" w:w="2592"/>
          </w:tcPr>
          <w:p>
            <w:pPr>
              <w:spacing w:after="0" w:line="240" w:lineRule="auto"/>
            </w:pPr>
            <w:r/>
            <w:r>
              <w:rPr>
                <w:b w:val="0"/>
                <w:sz w:val="15"/>
              </w:rPr>
              <w:t>Insurance: Medicaid</w:t>
            </w:r>
          </w:p>
        </w:tc>
        <w:tc>
          <w:tcPr>
            <w:tcW w:type="dxa" w:w="936"/>
          </w:tcPr>
          <w:p>
            <w:pPr>
              <w:spacing w:after="0" w:line="240" w:lineRule="auto"/>
              <w:jc w:val="center"/>
            </w:pPr>
            <w:r/>
            <w:r>
              <w:rPr>
                <w:b w:val="0"/>
                <w:sz w:val="15"/>
              </w:rPr>
              <w:t>12,809</w:t>
            </w:r>
          </w:p>
        </w:tc>
        <w:tc>
          <w:tcPr>
            <w:tcW w:type="dxa" w:w="1224"/>
          </w:tcPr>
          <w:p>
            <w:pPr>
              <w:spacing w:after="0" w:line="240" w:lineRule="auto"/>
              <w:jc w:val="center"/>
            </w:pPr>
            <w:r/>
            <w:r>
              <w:rPr>
                <w:b w:val="0"/>
                <w:sz w:val="15"/>
              </w:rPr>
              <w:t>12.6%</w:t>
            </w:r>
          </w:p>
        </w:tc>
        <w:tc>
          <w:tcPr>
            <w:tcW w:type="dxa" w:w="936"/>
          </w:tcPr>
          <w:p>
            <w:pPr>
              <w:spacing w:after="0" w:line="240" w:lineRule="auto"/>
              <w:jc w:val="center"/>
            </w:pPr>
            <w:r/>
            <w:r>
              <w:rPr>
                <w:b w:val="0"/>
                <w:sz w:val="15"/>
              </w:rPr>
              <w:t>1,113</w:t>
            </w:r>
          </w:p>
        </w:tc>
        <w:tc>
          <w:tcPr>
            <w:tcW w:type="dxa" w:w="720"/>
          </w:tcPr>
          <w:p>
            <w:pPr>
              <w:spacing w:after="0" w:line="240" w:lineRule="auto"/>
              <w:jc w:val="center"/>
            </w:pPr>
            <w:r/>
            <w:r>
              <w:rPr>
                <w:b w:val="0"/>
                <w:sz w:val="15"/>
              </w:rPr>
              <w:t>1,794</w:t>
            </w:r>
          </w:p>
        </w:tc>
        <w:tc>
          <w:tcPr>
            <w:tcW w:type="dxa" w:w="1872"/>
          </w:tcPr>
          <w:p>
            <w:pPr>
              <w:spacing w:after="0" w:line="240" w:lineRule="auto"/>
              <w:jc w:val="center"/>
            </w:pPr>
            <w:r/>
            <w:r>
              <w:rPr>
                <w:b w:val="0"/>
                <w:sz w:val="15"/>
              </w:rPr>
              <w:t>0.64 (0.59 to 0.70)</w:t>
            </w:r>
          </w:p>
        </w:tc>
        <w:tc>
          <w:tcPr>
            <w:tcW w:type="dxa" w:w="1296"/>
          </w:tcPr>
          <w:p>
            <w:pPr>
              <w:spacing w:after="0" w:line="240" w:lineRule="auto"/>
              <w:jc w:val="center"/>
            </w:pPr>
            <w:r/>
            <w:r>
              <w:rPr>
                <w:b w:val="0"/>
                <w:sz w:val="15"/>
              </w:rPr>
              <w:t>3.5% / 46.8%</w:t>
            </w:r>
          </w:p>
        </w:tc>
      </w:tr>
      <w:tr>
        <w:trPr>
          <w:cantSplit w:val="true"/>
        </w:trPr>
        <w:tc>
          <w:tcPr>
            <w:tcW w:type="dxa" w:w="2592"/>
          </w:tcPr>
          <w:p>
            <w:pPr>
              <w:spacing w:after="0" w:line="240" w:lineRule="auto"/>
            </w:pPr>
            <w:r/>
            <w:r>
              <w:rPr>
                <w:b w:val="0"/>
                <w:sz w:val="15"/>
              </w:rPr>
              <w:t>Insurance: Private</w:t>
            </w:r>
          </w:p>
        </w:tc>
        <w:tc>
          <w:tcPr>
            <w:tcW w:type="dxa" w:w="936"/>
          </w:tcPr>
          <w:p>
            <w:pPr>
              <w:spacing w:after="0" w:line="240" w:lineRule="auto"/>
              <w:jc w:val="center"/>
            </w:pPr>
            <w:r/>
            <w:r>
              <w:rPr>
                <w:b w:val="0"/>
                <w:sz w:val="15"/>
              </w:rPr>
              <w:t>22,275</w:t>
            </w:r>
          </w:p>
        </w:tc>
        <w:tc>
          <w:tcPr>
            <w:tcW w:type="dxa" w:w="1224"/>
          </w:tcPr>
          <w:p>
            <w:pPr>
              <w:spacing w:after="0" w:line="240" w:lineRule="auto"/>
              <w:jc w:val="center"/>
            </w:pPr>
            <w:r/>
            <w:r>
              <w:rPr>
                <w:b w:val="0"/>
                <w:sz w:val="15"/>
              </w:rPr>
              <w:t>9.1%</w:t>
            </w:r>
          </w:p>
        </w:tc>
        <w:tc>
          <w:tcPr>
            <w:tcW w:type="dxa" w:w="936"/>
          </w:tcPr>
          <w:p>
            <w:pPr>
              <w:spacing w:after="0" w:line="240" w:lineRule="auto"/>
              <w:jc w:val="center"/>
            </w:pPr>
            <w:r/>
            <w:r>
              <w:rPr>
                <w:b w:val="0"/>
                <w:sz w:val="15"/>
              </w:rPr>
              <w:t>2,217</w:t>
            </w:r>
          </w:p>
        </w:tc>
        <w:tc>
          <w:tcPr>
            <w:tcW w:type="dxa" w:w="720"/>
          </w:tcPr>
          <w:p>
            <w:pPr>
              <w:spacing w:after="0" w:line="240" w:lineRule="auto"/>
              <w:jc w:val="center"/>
            </w:pPr>
            <w:r/>
            <w:r>
              <w:rPr>
                <w:b w:val="0"/>
                <w:sz w:val="15"/>
              </w:rPr>
              <w:t>3,627</w:t>
            </w:r>
          </w:p>
        </w:tc>
        <w:tc>
          <w:tcPr>
            <w:tcW w:type="dxa" w:w="1872"/>
          </w:tcPr>
          <w:p>
            <w:pPr>
              <w:spacing w:after="0" w:line="240" w:lineRule="auto"/>
              <w:jc w:val="center"/>
            </w:pPr>
            <w:r/>
            <w:r>
              <w:rPr>
                <w:b w:val="0"/>
                <w:sz w:val="15"/>
              </w:rPr>
              <w:t>0.76 (0.72 to 0.80)</w:t>
            </w:r>
          </w:p>
        </w:tc>
        <w:tc>
          <w:tcPr>
            <w:tcW w:type="dxa" w:w="1296"/>
          </w:tcPr>
          <w:p>
            <w:pPr>
              <w:spacing w:after="0" w:line="240" w:lineRule="auto"/>
              <w:jc w:val="center"/>
            </w:pPr>
            <w:r/>
            <w:r>
              <w:rPr>
                <w:b w:val="0"/>
                <w:sz w:val="15"/>
              </w:rPr>
              <w:t>1.7% / 51.7%</w:t>
            </w:r>
          </w:p>
        </w:tc>
      </w:tr>
      <w:tr>
        <w:trPr>
          <w:cantSplit w:val="true"/>
        </w:trPr>
        <w:tc>
          <w:tcPr>
            <w:tcW w:type="dxa" w:w="2592"/>
          </w:tcPr>
          <w:p>
            <w:pPr>
              <w:spacing w:after="0" w:line="240" w:lineRule="auto"/>
            </w:pPr>
            <w:r/>
            <w:r>
              <w:rPr>
                <w:b w:val="0"/>
                <w:sz w:val="15"/>
              </w:rPr>
              <w:t>Insurance: Other/Missing</w:t>
            </w:r>
          </w:p>
        </w:tc>
        <w:tc>
          <w:tcPr>
            <w:tcW w:type="dxa" w:w="936"/>
          </w:tcPr>
          <w:p>
            <w:pPr>
              <w:spacing w:after="0" w:line="240" w:lineRule="auto"/>
              <w:jc w:val="center"/>
            </w:pPr>
            <w:r/>
            <w:r>
              <w:rPr>
                <w:b w:val="0"/>
                <w:sz w:val="15"/>
              </w:rPr>
              <w:t>3,535</w:t>
            </w:r>
          </w:p>
        </w:tc>
        <w:tc>
          <w:tcPr>
            <w:tcW w:type="dxa" w:w="1224"/>
          </w:tcPr>
          <w:p>
            <w:pPr>
              <w:spacing w:after="0" w:line="240" w:lineRule="auto"/>
              <w:jc w:val="center"/>
            </w:pPr>
            <w:r/>
            <w:r>
              <w:rPr>
                <w:b w:val="0"/>
                <w:sz w:val="15"/>
              </w:rPr>
              <w:t>12.2%</w:t>
            </w:r>
          </w:p>
        </w:tc>
        <w:tc>
          <w:tcPr>
            <w:tcW w:type="dxa" w:w="936"/>
          </w:tcPr>
          <w:p>
            <w:pPr>
              <w:spacing w:after="0" w:line="240" w:lineRule="auto"/>
              <w:jc w:val="center"/>
            </w:pPr>
            <w:r/>
            <w:r>
              <w:rPr>
                <w:b w:val="0"/>
                <w:sz w:val="15"/>
              </w:rPr>
              <w:t>356</w:t>
            </w:r>
          </w:p>
        </w:tc>
        <w:tc>
          <w:tcPr>
            <w:tcW w:type="dxa" w:w="720"/>
          </w:tcPr>
          <w:p>
            <w:pPr>
              <w:spacing w:after="0" w:line="240" w:lineRule="auto"/>
              <w:jc w:val="center"/>
            </w:pPr>
            <w:r/>
            <w:r>
              <w:rPr>
                <w:b w:val="0"/>
                <w:sz w:val="15"/>
              </w:rPr>
              <w:t>548</w:t>
            </w:r>
          </w:p>
        </w:tc>
        <w:tc>
          <w:tcPr>
            <w:tcW w:type="dxa" w:w="1872"/>
          </w:tcPr>
          <w:p>
            <w:pPr>
              <w:spacing w:after="0" w:line="240" w:lineRule="auto"/>
              <w:jc w:val="center"/>
            </w:pPr>
            <w:r/>
            <w:r>
              <w:rPr>
                <w:b w:val="0"/>
                <w:sz w:val="15"/>
              </w:rPr>
              <w:t>0.78 (0.69 to 0.88)</w:t>
            </w:r>
          </w:p>
        </w:tc>
        <w:tc>
          <w:tcPr>
            <w:tcW w:type="dxa" w:w="1296"/>
          </w:tcPr>
          <w:p>
            <w:pPr>
              <w:spacing w:after="0" w:line="240" w:lineRule="auto"/>
              <w:jc w:val="center"/>
            </w:pPr>
            <w:r/>
            <w:r>
              <w:rPr>
                <w:b w:val="0"/>
                <w:sz w:val="15"/>
              </w:rPr>
              <w:t>1.1% / 52.0%</w:t>
            </w:r>
          </w:p>
        </w:tc>
      </w:tr>
    </w:tbl>
    <w:p>
      <w:pPr>
        <w:spacing w:after="40"/>
      </w:pPr>
    </w:p>
    <w:p>
      <w:pPr>
        <w:keepNext/>
        <w:spacing w:after="60"/>
      </w:pPr>
      <w:r>
        <w:rPr>
          <w:b/>
          <w:sz w:val="19"/>
        </w:rPr>
        <w:t xml:space="preserve">Supplementary Table S5. </w:t>
      </w:r>
      <w:r>
        <w:rPr>
          <w:sz w:val="19"/>
        </w:rPr>
        <w:t>Percent of stays with each domain observed, by subgroup (SOFA-1 / SOFA-2); respiratory (resp), bilirubin (liver) and all six domains (complete case). Observed percentages do not depend on the sedation rule or on the SOFA-1 version.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val="true"/>
        </w:trPr>
        <w:tc>
          <w:tcPr>
            <w:tcW w:type="dxa" w:w="2736"/>
            <w:shd w:val="clear" w:color="auto" w:fill="D9E2F3"/>
          </w:tcPr>
          <w:p>
            <w:pPr>
              <w:spacing w:after="0" w:line="240" w:lineRule="auto"/>
            </w:pPr>
            <w:r/>
            <w:r>
              <w:rPr>
                <w:b/>
                <w:sz w:val="15"/>
              </w:rPr>
              <w:t>Group</w:t>
            </w:r>
          </w:p>
        </w:tc>
        <w:tc>
          <w:tcPr>
            <w:tcW w:type="dxa" w:w="1152"/>
            <w:shd w:val="clear" w:color="auto" w:fill="D9E2F3"/>
          </w:tcPr>
          <w:p>
            <w:pPr>
              <w:spacing w:after="0" w:line="240" w:lineRule="auto"/>
              <w:jc w:val="center"/>
            </w:pPr>
            <w:r/>
            <w:r>
              <w:rPr>
                <w:b/>
                <w:sz w:val="15"/>
              </w:rPr>
              <w:t>n</w:t>
            </w:r>
          </w:p>
        </w:tc>
        <w:tc>
          <w:tcPr>
            <w:tcW w:type="dxa" w:w="1872"/>
            <w:shd w:val="clear" w:color="auto" w:fill="D9E2F3"/>
          </w:tcPr>
          <w:p>
            <w:pPr>
              <w:spacing w:after="0" w:line="240" w:lineRule="auto"/>
              <w:jc w:val="center"/>
            </w:pPr>
            <w:r/>
            <w:r>
              <w:rPr>
                <w:b/>
                <w:sz w:val="15"/>
              </w:rPr>
              <w:t>Resp. observed %</w:t>
            </w:r>
          </w:p>
        </w:tc>
        <w:tc>
          <w:tcPr>
            <w:tcW w:type="dxa" w:w="1872"/>
            <w:shd w:val="clear" w:color="auto" w:fill="D9E2F3"/>
          </w:tcPr>
          <w:p>
            <w:pPr>
              <w:spacing w:after="0" w:line="240" w:lineRule="auto"/>
              <w:jc w:val="center"/>
            </w:pPr>
            <w:r/>
            <w:r>
              <w:rPr>
                <w:b/>
                <w:sz w:val="15"/>
              </w:rPr>
              <w:t>Liver observed %</w:t>
            </w:r>
          </w:p>
        </w:tc>
        <w:tc>
          <w:tcPr>
            <w:tcW w:type="dxa" w:w="1872"/>
            <w:shd w:val="clear" w:color="auto" w:fill="D9E2F3"/>
          </w:tcPr>
          <w:p>
            <w:pPr>
              <w:spacing w:after="0" w:line="240" w:lineRule="auto"/>
              <w:jc w:val="center"/>
            </w:pPr>
            <w:r/>
            <w:r>
              <w:rPr>
                <w:b/>
                <w:sz w:val="15"/>
              </w:rPr>
              <w:t>Complete case %</w:t>
            </w:r>
          </w:p>
        </w:tc>
      </w:tr>
      <w:tr>
        <w:trPr>
          <w:cantSplit w:val="true"/>
        </w:trPr>
        <w:tc>
          <w:tcPr>
            <w:tcW w:type="dxa" w:w="2736"/>
          </w:tcPr>
          <w:p>
            <w:pPr>
              <w:spacing w:after="0" w:line="240" w:lineRule="auto"/>
            </w:pPr>
            <w:r/>
            <w:r>
              <w:rPr>
                <w:b w:val="0"/>
                <w:sz w:val="15"/>
              </w:rPr>
              <w:t>Sex: Male</w:t>
            </w:r>
          </w:p>
        </w:tc>
        <w:tc>
          <w:tcPr>
            <w:tcW w:type="dxa" w:w="1152"/>
          </w:tcPr>
          <w:p>
            <w:pPr>
              <w:spacing w:after="0" w:line="240" w:lineRule="auto"/>
              <w:jc w:val="center"/>
            </w:pPr>
            <w:r/>
            <w:r>
              <w:rPr>
                <w:b w:val="0"/>
                <w:sz w:val="15"/>
              </w:rPr>
              <w:t>47,520</w:t>
            </w:r>
          </w:p>
        </w:tc>
        <w:tc>
          <w:tcPr>
            <w:tcW w:type="dxa" w:w="1872"/>
          </w:tcPr>
          <w:p>
            <w:pPr>
              <w:spacing w:after="0" w:line="240" w:lineRule="auto"/>
              <w:jc w:val="center"/>
            </w:pPr>
            <w:r/>
            <w:r>
              <w:rPr>
                <w:b w:val="0"/>
                <w:sz w:val="15"/>
              </w:rPr>
              <w:t>35.8 / 47.5</w:t>
            </w:r>
          </w:p>
        </w:tc>
        <w:tc>
          <w:tcPr>
            <w:tcW w:type="dxa" w:w="1872"/>
          </w:tcPr>
          <w:p>
            <w:pPr>
              <w:spacing w:after="0" w:line="240" w:lineRule="auto"/>
              <w:jc w:val="center"/>
            </w:pPr>
            <w:r/>
            <w:r>
              <w:rPr>
                <w:b w:val="0"/>
                <w:sz w:val="15"/>
              </w:rPr>
              <w:t>44.4 / 44.4</w:t>
            </w:r>
          </w:p>
        </w:tc>
        <w:tc>
          <w:tcPr>
            <w:tcW w:type="dxa" w:w="1872"/>
          </w:tcPr>
          <w:p>
            <w:pPr>
              <w:spacing w:after="0" w:line="240" w:lineRule="auto"/>
              <w:jc w:val="center"/>
            </w:pPr>
            <w:r/>
            <w:r>
              <w:rPr>
                <w:b w:val="0"/>
                <w:sz w:val="15"/>
              </w:rPr>
              <w:t>14.4 / 20.3</w:t>
            </w:r>
          </w:p>
        </w:tc>
      </w:tr>
      <w:tr>
        <w:trPr>
          <w:cantSplit w:val="true"/>
        </w:trPr>
        <w:tc>
          <w:tcPr>
            <w:tcW w:type="dxa" w:w="2736"/>
          </w:tcPr>
          <w:p>
            <w:pPr>
              <w:spacing w:after="0" w:line="240" w:lineRule="auto"/>
            </w:pPr>
            <w:r/>
            <w:r>
              <w:rPr>
                <w:b w:val="0"/>
                <w:sz w:val="15"/>
              </w:rPr>
              <w:t>Sex: Female</w:t>
            </w:r>
          </w:p>
        </w:tc>
        <w:tc>
          <w:tcPr>
            <w:tcW w:type="dxa" w:w="1152"/>
          </w:tcPr>
          <w:p>
            <w:pPr>
              <w:spacing w:after="0" w:line="240" w:lineRule="auto"/>
              <w:jc w:val="center"/>
            </w:pPr>
            <w:r/>
            <w:r>
              <w:rPr>
                <w:b w:val="0"/>
                <w:sz w:val="15"/>
              </w:rPr>
              <w:t>37,708</w:t>
            </w:r>
          </w:p>
        </w:tc>
        <w:tc>
          <w:tcPr>
            <w:tcW w:type="dxa" w:w="1872"/>
          </w:tcPr>
          <w:p>
            <w:pPr>
              <w:spacing w:after="0" w:line="240" w:lineRule="auto"/>
              <w:jc w:val="center"/>
            </w:pPr>
            <w:r/>
            <w:r>
              <w:rPr>
                <w:b w:val="0"/>
                <w:sz w:val="15"/>
              </w:rPr>
              <w:t>27.6 / 39.3</w:t>
            </w:r>
          </w:p>
        </w:tc>
        <w:tc>
          <w:tcPr>
            <w:tcW w:type="dxa" w:w="1872"/>
          </w:tcPr>
          <w:p>
            <w:pPr>
              <w:spacing w:after="0" w:line="240" w:lineRule="auto"/>
              <w:jc w:val="center"/>
            </w:pPr>
            <w:r/>
            <w:r>
              <w:rPr>
                <w:b w:val="0"/>
                <w:sz w:val="15"/>
              </w:rPr>
              <w:t>42.2 / 42.2</w:t>
            </w:r>
          </w:p>
        </w:tc>
        <w:tc>
          <w:tcPr>
            <w:tcW w:type="dxa" w:w="1872"/>
          </w:tcPr>
          <w:p>
            <w:pPr>
              <w:spacing w:after="0" w:line="240" w:lineRule="auto"/>
              <w:jc w:val="center"/>
            </w:pPr>
            <w:r/>
            <w:r>
              <w:rPr>
                <w:b w:val="0"/>
                <w:sz w:val="15"/>
              </w:rPr>
              <w:t>12.3 / 17.4</w:t>
            </w:r>
          </w:p>
        </w:tc>
      </w:tr>
      <w:tr>
        <w:trPr>
          <w:cantSplit w:val="true"/>
        </w:trPr>
        <w:tc>
          <w:tcPr>
            <w:tcW w:type="dxa" w:w="2736"/>
          </w:tcPr>
          <w:p>
            <w:pPr>
              <w:spacing w:after="0" w:line="240" w:lineRule="auto"/>
            </w:pPr>
            <w:r/>
            <w:r>
              <w:rPr>
                <w:b w:val="0"/>
                <w:sz w:val="15"/>
              </w:rPr>
              <w:t>Race: White</w:t>
            </w:r>
          </w:p>
        </w:tc>
        <w:tc>
          <w:tcPr>
            <w:tcW w:type="dxa" w:w="1152"/>
          </w:tcPr>
          <w:p>
            <w:pPr>
              <w:spacing w:after="0" w:line="240" w:lineRule="auto"/>
              <w:jc w:val="center"/>
            </w:pPr>
            <w:r/>
            <w:r>
              <w:rPr>
                <w:b w:val="0"/>
                <w:sz w:val="15"/>
              </w:rPr>
              <w:t>56,537</w:t>
            </w:r>
          </w:p>
        </w:tc>
        <w:tc>
          <w:tcPr>
            <w:tcW w:type="dxa" w:w="1872"/>
          </w:tcPr>
          <w:p>
            <w:pPr>
              <w:spacing w:after="0" w:line="240" w:lineRule="auto"/>
              <w:jc w:val="center"/>
            </w:pPr>
            <w:r/>
            <w:r>
              <w:rPr>
                <w:b w:val="0"/>
                <w:sz w:val="15"/>
              </w:rPr>
              <w:t>31.6 / 43.1</w:t>
            </w:r>
          </w:p>
        </w:tc>
        <w:tc>
          <w:tcPr>
            <w:tcW w:type="dxa" w:w="1872"/>
          </w:tcPr>
          <w:p>
            <w:pPr>
              <w:spacing w:after="0" w:line="240" w:lineRule="auto"/>
              <w:jc w:val="center"/>
            </w:pPr>
            <w:r/>
            <w:r>
              <w:rPr>
                <w:b w:val="0"/>
                <w:sz w:val="15"/>
              </w:rPr>
              <w:t>41.3 / 41.3</w:t>
            </w:r>
          </w:p>
        </w:tc>
        <w:tc>
          <w:tcPr>
            <w:tcW w:type="dxa" w:w="1872"/>
          </w:tcPr>
          <w:p>
            <w:pPr>
              <w:spacing w:after="0" w:line="240" w:lineRule="auto"/>
              <w:jc w:val="center"/>
            </w:pPr>
            <w:r/>
            <w:r>
              <w:rPr>
                <w:b w:val="0"/>
                <w:sz w:val="15"/>
              </w:rPr>
              <w:t>12.1 / 17.4</w:t>
            </w:r>
          </w:p>
        </w:tc>
      </w:tr>
      <w:tr>
        <w:trPr>
          <w:cantSplit w:val="true"/>
        </w:trPr>
        <w:tc>
          <w:tcPr>
            <w:tcW w:type="dxa" w:w="2736"/>
          </w:tcPr>
          <w:p>
            <w:pPr>
              <w:spacing w:after="0" w:line="240" w:lineRule="auto"/>
            </w:pPr>
            <w:r/>
            <w:r>
              <w:rPr>
                <w:b w:val="0"/>
                <w:sz w:val="15"/>
              </w:rPr>
              <w:t>Race: Unknown/Declined</w:t>
            </w:r>
          </w:p>
        </w:tc>
        <w:tc>
          <w:tcPr>
            <w:tcW w:type="dxa" w:w="1152"/>
          </w:tcPr>
          <w:p>
            <w:pPr>
              <w:spacing w:after="0" w:line="240" w:lineRule="auto"/>
              <w:jc w:val="center"/>
            </w:pPr>
            <w:r/>
            <w:r>
              <w:rPr>
                <w:b w:val="0"/>
                <w:sz w:val="15"/>
              </w:rPr>
              <w:t>9,768</w:t>
            </w:r>
          </w:p>
        </w:tc>
        <w:tc>
          <w:tcPr>
            <w:tcW w:type="dxa" w:w="1872"/>
          </w:tcPr>
          <w:p>
            <w:pPr>
              <w:spacing w:after="0" w:line="240" w:lineRule="auto"/>
              <w:jc w:val="center"/>
            </w:pPr>
            <w:r/>
            <w:r>
              <w:rPr>
                <w:b w:val="0"/>
                <w:sz w:val="15"/>
              </w:rPr>
              <w:t>46.6 / 60.7</w:t>
            </w:r>
          </w:p>
        </w:tc>
        <w:tc>
          <w:tcPr>
            <w:tcW w:type="dxa" w:w="1872"/>
          </w:tcPr>
          <w:p>
            <w:pPr>
              <w:spacing w:after="0" w:line="240" w:lineRule="auto"/>
              <w:jc w:val="center"/>
            </w:pPr>
            <w:r/>
            <w:r>
              <w:rPr>
                <w:b w:val="0"/>
                <w:sz w:val="15"/>
              </w:rPr>
              <w:t>50.4 / 50.4</w:t>
            </w:r>
          </w:p>
        </w:tc>
        <w:tc>
          <w:tcPr>
            <w:tcW w:type="dxa" w:w="1872"/>
          </w:tcPr>
          <w:p>
            <w:pPr>
              <w:spacing w:after="0" w:line="240" w:lineRule="auto"/>
              <w:jc w:val="center"/>
            </w:pPr>
            <w:r/>
            <w:r>
              <w:rPr>
                <w:b w:val="0"/>
                <w:sz w:val="15"/>
              </w:rPr>
              <w:t>23.0 / 30.5</w:t>
            </w:r>
          </w:p>
        </w:tc>
      </w:tr>
      <w:tr>
        <w:trPr>
          <w:cantSplit w:val="true"/>
        </w:trPr>
        <w:tc>
          <w:tcPr>
            <w:tcW w:type="dxa" w:w="2736"/>
          </w:tcPr>
          <w:p>
            <w:pPr>
              <w:spacing w:after="0" w:line="240" w:lineRule="auto"/>
            </w:pPr>
            <w:r/>
            <w:r>
              <w:rPr>
                <w:b w:val="0"/>
                <w:sz w:val="15"/>
              </w:rPr>
              <w:t>Race: Black</w:t>
            </w:r>
          </w:p>
        </w:tc>
        <w:tc>
          <w:tcPr>
            <w:tcW w:type="dxa" w:w="1152"/>
          </w:tcPr>
          <w:p>
            <w:pPr>
              <w:spacing w:after="0" w:line="240" w:lineRule="auto"/>
              <w:jc w:val="center"/>
            </w:pPr>
            <w:r/>
            <w:r>
              <w:rPr>
                <w:b w:val="0"/>
                <w:sz w:val="15"/>
              </w:rPr>
              <w:t>9,364</w:t>
            </w:r>
          </w:p>
        </w:tc>
        <w:tc>
          <w:tcPr>
            <w:tcW w:type="dxa" w:w="1872"/>
          </w:tcPr>
          <w:p>
            <w:pPr>
              <w:spacing w:after="0" w:line="240" w:lineRule="auto"/>
              <w:jc w:val="center"/>
            </w:pPr>
            <w:r/>
            <w:r>
              <w:rPr>
                <w:b w:val="0"/>
                <w:sz w:val="15"/>
              </w:rPr>
              <w:t>23.4 / 34.2</w:t>
            </w:r>
          </w:p>
        </w:tc>
        <w:tc>
          <w:tcPr>
            <w:tcW w:type="dxa" w:w="1872"/>
          </w:tcPr>
          <w:p>
            <w:pPr>
              <w:spacing w:after="0" w:line="240" w:lineRule="auto"/>
              <w:jc w:val="center"/>
            </w:pPr>
            <w:r/>
            <w:r>
              <w:rPr>
                <w:b w:val="0"/>
                <w:sz w:val="15"/>
              </w:rPr>
              <w:t>47.1 / 47.1</w:t>
            </w:r>
          </w:p>
        </w:tc>
        <w:tc>
          <w:tcPr>
            <w:tcW w:type="dxa" w:w="1872"/>
          </w:tcPr>
          <w:p>
            <w:pPr>
              <w:spacing w:after="0" w:line="240" w:lineRule="auto"/>
              <w:jc w:val="center"/>
            </w:pPr>
            <w:r/>
            <w:r>
              <w:rPr>
                <w:b w:val="0"/>
                <w:sz w:val="15"/>
              </w:rPr>
              <w:t>12.1 / 17.5</w:t>
            </w:r>
          </w:p>
        </w:tc>
      </w:tr>
      <w:tr>
        <w:trPr>
          <w:cantSplit w:val="true"/>
        </w:trPr>
        <w:tc>
          <w:tcPr>
            <w:tcW w:type="dxa" w:w="2736"/>
          </w:tcPr>
          <w:p>
            <w:pPr>
              <w:spacing w:after="0" w:line="240" w:lineRule="auto"/>
            </w:pPr>
            <w:r/>
            <w:r>
              <w:rPr>
                <w:b w:val="0"/>
                <w:sz w:val="15"/>
              </w:rPr>
              <w:t>Race: Other</w:t>
            </w:r>
          </w:p>
        </w:tc>
        <w:tc>
          <w:tcPr>
            <w:tcW w:type="dxa" w:w="1152"/>
          </w:tcPr>
          <w:p>
            <w:pPr>
              <w:spacing w:after="0" w:line="240" w:lineRule="auto"/>
              <w:jc w:val="center"/>
            </w:pPr>
            <w:r/>
            <w:r>
              <w:rPr>
                <w:b w:val="0"/>
                <w:sz w:val="15"/>
              </w:rPr>
              <w:t>3,651</w:t>
            </w:r>
          </w:p>
        </w:tc>
        <w:tc>
          <w:tcPr>
            <w:tcW w:type="dxa" w:w="1872"/>
          </w:tcPr>
          <w:p>
            <w:pPr>
              <w:spacing w:after="0" w:line="240" w:lineRule="auto"/>
              <w:jc w:val="center"/>
            </w:pPr>
            <w:r/>
            <w:r>
              <w:rPr>
                <w:b w:val="0"/>
                <w:sz w:val="15"/>
              </w:rPr>
              <w:t>31.3 / 42.6</w:t>
            </w:r>
          </w:p>
        </w:tc>
        <w:tc>
          <w:tcPr>
            <w:tcW w:type="dxa" w:w="1872"/>
          </w:tcPr>
          <w:p>
            <w:pPr>
              <w:spacing w:after="0" w:line="240" w:lineRule="auto"/>
              <w:jc w:val="center"/>
            </w:pPr>
            <w:r/>
            <w:r>
              <w:rPr>
                <w:b w:val="0"/>
                <w:sz w:val="15"/>
              </w:rPr>
              <w:t>43.2 / 43.2</w:t>
            </w:r>
          </w:p>
        </w:tc>
        <w:tc>
          <w:tcPr>
            <w:tcW w:type="dxa" w:w="1872"/>
          </w:tcPr>
          <w:p>
            <w:pPr>
              <w:spacing w:after="0" w:line="240" w:lineRule="auto"/>
              <w:jc w:val="center"/>
            </w:pPr>
            <w:r/>
            <w:r>
              <w:rPr>
                <w:b w:val="0"/>
                <w:sz w:val="15"/>
              </w:rPr>
              <w:t>13.4 / 19.0</w:t>
            </w:r>
          </w:p>
        </w:tc>
      </w:tr>
      <w:tr>
        <w:trPr>
          <w:cantSplit w:val="true"/>
        </w:trPr>
        <w:tc>
          <w:tcPr>
            <w:tcW w:type="dxa" w:w="2736"/>
          </w:tcPr>
          <w:p>
            <w:pPr>
              <w:spacing w:after="0" w:line="240" w:lineRule="auto"/>
            </w:pPr>
            <w:r/>
            <w:r>
              <w:rPr>
                <w:b w:val="0"/>
                <w:sz w:val="15"/>
              </w:rPr>
              <w:t>Race: Hispanic/Latino</w:t>
            </w:r>
          </w:p>
        </w:tc>
        <w:tc>
          <w:tcPr>
            <w:tcW w:type="dxa" w:w="1152"/>
          </w:tcPr>
          <w:p>
            <w:pPr>
              <w:spacing w:after="0" w:line="240" w:lineRule="auto"/>
              <w:jc w:val="center"/>
            </w:pPr>
            <w:r/>
            <w:r>
              <w:rPr>
                <w:b w:val="0"/>
                <w:sz w:val="15"/>
              </w:rPr>
              <w:t>3,291</w:t>
            </w:r>
          </w:p>
        </w:tc>
        <w:tc>
          <w:tcPr>
            <w:tcW w:type="dxa" w:w="1872"/>
          </w:tcPr>
          <w:p>
            <w:pPr>
              <w:spacing w:after="0" w:line="240" w:lineRule="auto"/>
              <w:jc w:val="center"/>
            </w:pPr>
            <w:r/>
            <w:r>
              <w:rPr>
                <w:b w:val="0"/>
                <w:sz w:val="15"/>
              </w:rPr>
              <w:t>28.5 / 39.8</w:t>
            </w:r>
          </w:p>
        </w:tc>
        <w:tc>
          <w:tcPr>
            <w:tcW w:type="dxa" w:w="1872"/>
          </w:tcPr>
          <w:p>
            <w:pPr>
              <w:spacing w:after="0" w:line="240" w:lineRule="auto"/>
              <w:jc w:val="center"/>
            </w:pPr>
            <w:r/>
            <w:r>
              <w:rPr>
                <w:b w:val="0"/>
                <w:sz w:val="15"/>
              </w:rPr>
              <w:t>47.3 / 47.3</w:t>
            </w:r>
          </w:p>
        </w:tc>
        <w:tc>
          <w:tcPr>
            <w:tcW w:type="dxa" w:w="1872"/>
          </w:tcPr>
          <w:p>
            <w:pPr>
              <w:spacing w:after="0" w:line="240" w:lineRule="auto"/>
              <w:jc w:val="center"/>
            </w:pPr>
            <w:r/>
            <w:r>
              <w:rPr>
                <w:b w:val="0"/>
                <w:sz w:val="15"/>
              </w:rPr>
              <w:t>13.1 / 18.9</w:t>
            </w:r>
          </w:p>
        </w:tc>
      </w:tr>
      <w:tr>
        <w:trPr>
          <w:cantSplit w:val="true"/>
        </w:trPr>
        <w:tc>
          <w:tcPr>
            <w:tcW w:type="dxa" w:w="2736"/>
          </w:tcPr>
          <w:p>
            <w:pPr>
              <w:spacing w:after="0" w:line="240" w:lineRule="auto"/>
            </w:pPr>
            <w:r/>
            <w:r>
              <w:rPr>
                <w:b w:val="0"/>
                <w:sz w:val="15"/>
              </w:rPr>
              <w:t>Race: Asian</w:t>
            </w:r>
          </w:p>
        </w:tc>
        <w:tc>
          <w:tcPr>
            <w:tcW w:type="dxa" w:w="1152"/>
          </w:tcPr>
          <w:p>
            <w:pPr>
              <w:spacing w:after="0" w:line="240" w:lineRule="auto"/>
              <w:jc w:val="center"/>
            </w:pPr>
            <w:r/>
            <w:r>
              <w:rPr>
                <w:b w:val="0"/>
                <w:sz w:val="15"/>
              </w:rPr>
              <w:t>2,617</w:t>
            </w:r>
          </w:p>
        </w:tc>
        <w:tc>
          <w:tcPr>
            <w:tcW w:type="dxa" w:w="1872"/>
          </w:tcPr>
          <w:p>
            <w:pPr>
              <w:spacing w:after="0" w:line="240" w:lineRule="auto"/>
              <w:jc w:val="center"/>
            </w:pPr>
            <w:r/>
            <w:r>
              <w:rPr>
                <w:b w:val="0"/>
                <w:sz w:val="15"/>
              </w:rPr>
              <w:t>27.9 / 37.7</w:t>
            </w:r>
          </w:p>
        </w:tc>
        <w:tc>
          <w:tcPr>
            <w:tcW w:type="dxa" w:w="1872"/>
          </w:tcPr>
          <w:p>
            <w:pPr>
              <w:spacing w:after="0" w:line="240" w:lineRule="auto"/>
              <w:jc w:val="center"/>
            </w:pPr>
            <w:r/>
            <w:r>
              <w:rPr>
                <w:b w:val="0"/>
                <w:sz w:val="15"/>
              </w:rPr>
              <w:t>45.3 / 45.3</w:t>
            </w:r>
          </w:p>
        </w:tc>
        <w:tc>
          <w:tcPr>
            <w:tcW w:type="dxa" w:w="1872"/>
          </w:tcPr>
          <w:p>
            <w:pPr>
              <w:spacing w:after="0" w:line="240" w:lineRule="auto"/>
              <w:jc w:val="center"/>
            </w:pPr>
            <w:r/>
            <w:r>
              <w:rPr>
                <w:b w:val="0"/>
                <w:sz w:val="15"/>
              </w:rPr>
              <w:t>12.8 / 17.9</w:t>
            </w:r>
          </w:p>
        </w:tc>
      </w:tr>
      <w:tr>
        <w:trPr>
          <w:cantSplit w:val="true"/>
        </w:trPr>
        <w:tc>
          <w:tcPr>
            <w:tcW w:type="dxa" w:w="2736"/>
          </w:tcPr>
          <w:p>
            <w:pPr>
              <w:spacing w:after="0" w:line="240" w:lineRule="auto"/>
            </w:pPr>
            <w:r/>
            <w:r>
              <w:rPr>
                <w:b w:val="0"/>
                <w:sz w:val="15"/>
              </w:rPr>
              <w:t>Insurance: Medicare</w:t>
            </w:r>
          </w:p>
        </w:tc>
        <w:tc>
          <w:tcPr>
            <w:tcW w:type="dxa" w:w="1152"/>
          </w:tcPr>
          <w:p>
            <w:pPr>
              <w:spacing w:after="0" w:line="240" w:lineRule="auto"/>
              <w:jc w:val="center"/>
            </w:pPr>
            <w:r/>
            <w:r>
              <w:rPr>
                <w:b w:val="0"/>
                <w:sz w:val="15"/>
              </w:rPr>
              <w:t>46,609</w:t>
            </w:r>
          </w:p>
        </w:tc>
        <w:tc>
          <w:tcPr>
            <w:tcW w:type="dxa" w:w="1872"/>
          </w:tcPr>
          <w:p>
            <w:pPr>
              <w:spacing w:after="0" w:line="240" w:lineRule="auto"/>
              <w:jc w:val="center"/>
            </w:pPr>
            <w:r/>
            <w:r>
              <w:rPr>
                <w:b w:val="0"/>
                <w:sz w:val="15"/>
              </w:rPr>
              <w:t>31.8 / 44.4</w:t>
            </w:r>
          </w:p>
        </w:tc>
        <w:tc>
          <w:tcPr>
            <w:tcW w:type="dxa" w:w="1872"/>
          </w:tcPr>
          <w:p>
            <w:pPr>
              <w:spacing w:after="0" w:line="240" w:lineRule="auto"/>
              <w:jc w:val="center"/>
            </w:pPr>
            <w:r/>
            <w:r>
              <w:rPr>
                <w:b w:val="0"/>
                <w:sz w:val="15"/>
              </w:rPr>
              <w:t>42.9 / 42.9</w:t>
            </w:r>
          </w:p>
        </w:tc>
        <w:tc>
          <w:tcPr>
            <w:tcW w:type="dxa" w:w="1872"/>
          </w:tcPr>
          <w:p>
            <w:pPr>
              <w:spacing w:after="0" w:line="240" w:lineRule="auto"/>
              <w:jc w:val="center"/>
            </w:pPr>
            <w:r/>
            <w:r>
              <w:rPr>
                <w:b w:val="0"/>
                <w:sz w:val="15"/>
              </w:rPr>
              <w:t>13.0 / 18.8</w:t>
            </w:r>
          </w:p>
        </w:tc>
      </w:tr>
      <w:tr>
        <w:trPr>
          <w:cantSplit w:val="true"/>
        </w:trPr>
        <w:tc>
          <w:tcPr>
            <w:tcW w:type="dxa" w:w="2736"/>
          </w:tcPr>
          <w:p>
            <w:pPr>
              <w:spacing w:after="0" w:line="240" w:lineRule="auto"/>
            </w:pPr>
            <w:r/>
            <w:r>
              <w:rPr>
                <w:b w:val="0"/>
                <w:sz w:val="15"/>
              </w:rPr>
              <w:t>Insurance: Private</w:t>
            </w:r>
          </w:p>
        </w:tc>
        <w:tc>
          <w:tcPr>
            <w:tcW w:type="dxa" w:w="1152"/>
          </w:tcPr>
          <w:p>
            <w:pPr>
              <w:spacing w:after="0" w:line="240" w:lineRule="auto"/>
              <w:jc w:val="center"/>
            </w:pPr>
            <w:r/>
            <w:r>
              <w:rPr>
                <w:b w:val="0"/>
                <w:sz w:val="15"/>
              </w:rPr>
              <w:t>22,275</w:t>
            </w:r>
          </w:p>
        </w:tc>
        <w:tc>
          <w:tcPr>
            <w:tcW w:type="dxa" w:w="1872"/>
          </w:tcPr>
          <w:p>
            <w:pPr>
              <w:spacing w:after="0" w:line="240" w:lineRule="auto"/>
              <w:jc w:val="center"/>
            </w:pPr>
            <w:r/>
            <w:r>
              <w:rPr>
                <w:b w:val="0"/>
                <w:sz w:val="15"/>
              </w:rPr>
              <w:t>34.4 / 43.5</w:t>
            </w:r>
          </w:p>
        </w:tc>
        <w:tc>
          <w:tcPr>
            <w:tcW w:type="dxa" w:w="1872"/>
          </w:tcPr>
          <w:p>
            <w:pPr>
              <w:spacing w:after="0" w:line="240" w:lineRule="auto"/>
              <w:jc w:val="center"/>
            </w:pPr>
            <w:r/>
            <w:r>
              <w:rPr>
                <w:b w:val="0"/>
                <w:sz w:val="15"/>
              </w:rPr>
              <w:t>40.2 / 40.2</w:t>
            </w:r>
          </w:p>
        </w:tc>
        <w:tc>
          <w:tcPr>
            <w:tcW w:type="dxa" w:w="1872"/>
          </w:tcPr>
          <w:p>
            <w:pPr>
              <w:spacing w:after="0" w:line="240" w:lineRule="auto"/>
              <w:jc w:val="center"/>
            </w:pPr>
            <w:r/>
            <w:r>
              <w:rPr>
                <w:b w:val="0"/>
                <w:sz w:val="15"/>
              </w:rPr>
              <w:t>12.9 / 17.3</w:t>
            </w:r>
          </w:p>
        </w:tc>
      </w:tr>
      <w:tr>
        <w:trPr>
          <w:cantSplit w:val="true"/>
        </w:trPr>
        <w:tc>
          <w:tcPr>
            <w:tcW w:type="dxa" w:w="2736"/>
          </w:tcPr>
          <w:p>
            <w:pPr>
              <w:spacing w:after="0" w:line="240" w:lineRule="auto"/>
            </w:pPr>
            <w:r/>
            <w:r>
              <w:rPr>
                <w:b w:val="0"/>
                <w:sz w:val="15"/>
              </w:rPr>
              <w:t>Insurance: Medicaid</w:t>
            </w:r>
          </w:p>
        </w:tc>
        <w:tc>
          <w:tcPr>
            <w:tcW w:type="dxa" w:w="1152"/>
          </w:tcPr>
          <w:p>
            <w:pPr>
              <w:spacing w:after="0" w:line="240" w:lineRule="auto"/>
              <w:jc w:val="center"/>
            </w:pPr>
            <w:r/>
            <w:r>
              <w:rPr>
                <w:b w:val="0"/>
                <w:sz w:val="15"/>
              </w:rPr>
              <w:t>12,809</w:t>
            </w:r>
          </w:p>
        </w:tc>
        <w:tc>
          <w:tcPr>
            <w:tcW w:type="dxa" w:w="1872"/>
          </w:tcPr>
          <w:p>
            <w:pPr>
              <w:spacing w:after="0" w:line="240" w:lineRule="auto"/>
              <w:jc w:val="center"/>
            </w:pPr>
            <w:r/>
            <w:r>
              <w:rPr>
                <w:b w:val="0"/>
                <w:sz w:val="15"/>
              </w:rPr>
              <w:t>29.1 / 41.7</w:t>
            </w:r>
          </w:p>
        </w:tc>
        <w:tc>
          <w:tcPr>
            <w:tcW w:type="dxa" w:w="1872"/>
          </w:tcPr>
          <w:p>
            <w:pPr>
              <w:spacing w:after="0" w:line="240" w:lineRule="auto"/>
              <w:jc w:val="center"/>
            </w:pPr>
            <w:r/>
            <w:r>
              <w:rPr>
                <w:b w:val="0"/>
                <w:sz w:val="15"/>
              </w:rPr>
              <w:t>50.4 / 50.4</w:t>
            </w:r>
          </w:p>
        </w:tc>
        <w:tc>
          <w:tcPr>
            <w:tcW w:type="dxa" w:w="1872"/>
          </w:tcPr>
          <w:p>
            <w:pPr>
              <w:spacing w:after="0" w:line="240" w:lineRule="auto"/>
              <w:jc w:val="center"/>
            </w:pPr>
            <w:r/>
            <w:r>
              <w:rPr>
                <w:b w:val="0"/>
                <w:sz w:val="15"/>
              </w:rPr>
              <w:t>15.5 / 22.2</w:t>
            </w:r>
          </w:p>
        </w:tc>
      </w:tr>
      <w:tr>
        <w:trPr>
          <w:cantSplit w:val="true"/>
        </w:trPr>
        <w:tc>
          <w:tcPr>
            <w:tcW w:type="dxa" w:w="2736"/>
          </w:tcPr>
          <w:p>
            <w:pPr>
              <w:spacing w:after="0" w:line="240" w:lineRule="auto"/>
            </w:pPr>
            <w:r/>
            <w:r>
              <w:rPr>
                <w:b w:val="0"/>
                <w:sz w:val="15"/>
              </w:rPr>
              <w:t>Insurance: Other/Missing</w:t>
            </w:r>
          </w:p>
        </w:tc>
        <w:tc>
          <w:tcPr>
            <w:tcW w:type="dxa" w:w="1152"/>
          </w:tcPr>
          <w:p>
            <w:pPr>
              <w:spacing w:after="0" w:line="240" w:lineRule="auto"/>
              <w:jc w:val="center"/>
            </w:pPr>
            <w:r/>
            <w:r>
              <w:rPr>
                <w:b w:val="0"/>
                <w:sz w:val="15"/>
              </w:rPr>
              <w:t>3,535</w:t>
            </w:r>
          </w:p>
        </w:tc>
        <w:tc>
          <w:tcPr>
            <w:tcW w:type="dxa" w:w="1872"/>
          </w:tcPr>
          <w:p>
            <w:pPr>
              <w:spacing w:after="0" w:line="240" w:lineRule="auto"/>
              <w:jc w:val="center"/>
            </w:pPr>
            <w:r/>
            <w:r>
              <w:rPr>
                <w:b w:val="0"/>
                <w:sz w:val="15"/>
              </w:rPr>
              <w:t>34.8 / 47.0</w:t>
            </w:r>
          </w:p>
        </w:tc>
        <w:tc>
          <w:tcPr>
            <w:tcW w:type="dxa" w:w="1872"/>
          </w:tcPr>
          <w:p>
            <w:pPr>
              <w:spacing w:after="0" w:line="240" w:lineRule="auto"/>
              <w:jc w:val="center"/>
            </w:pPr>
            <w:r/>
            <w:r>
              <w:rPr>
                <w:b w:val="0"/>
                <w:sz w:val="15"/>
              </w:rPr>
              <w:t>45.1 / 45.1</w:t>
            </w:r>
          </w:p>
        </w:tc>
        <w:tc>
          <w:tcPr>
            <w:tcW w:type="dxa" w:w="1872"/>
          </w:tcPr>
          <w:p>
            <w:pPr>
              <w:spacing w:after="0" w:line="240" w:lineRule="auto"/>
              <w:jc w:val="center"/>
            </w:pPr>
            <w:r/>
            <w:r>
              <w:rPr>
                <w:b w:val="0"/>
                <w:sz w:val="15"/>
              </w:rPr>
              <w:t>16.7 / 22.1</w:t>
            </w:r>
          </w:p>
        </w:tc>
      </w:tr>
    </w:tbl>
    <w:p>
      <w:pPr>
        <w:spacing w:after="40"/>
      </w:pPr>
    </w:p>
    <w:p>
      <w:pPr>
        <w:keepNext/>
        <w:spacing w:after="60"/>
      </w:pPr>
      <w:r>
        <w:rPr>
          <w:b/>
          <w:sz w:val="19"/>
        </w:rPr>
        <w:t xml:space="preserve">Supplementary Table S6. </w:t>
      </w:r>
      <w:r>
        <w:rPr>
          <w:sz w:val="19"/>
        </w:rPr>
        <w:t>Subgroup AUROC and change in gaps for ICU mortality (secondary outcome), SOFA-2 minus SOFA-1 as charted (headline) and community.</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cantSplit w:val="true"/>
        </w:trPr>
        <w:tc>
          <w:tcPr>
            <w:tcW w:type="dxa" w:w="2016"/>
            <w:shd w:val="clear" w:color="auto" w:fill="D9E2F3"/>
          </w:tcPr>
          <w:p>
            <w:pPr>
              <w:spacing w:after="0" w:line="240" w:lineRule="auto"/>
            </w:pPr>
            <w:r/>
            <w:r>
              <w:rPr>
                <w:b/>
                <w:sz w:val="14"/>
              </w:rPr>
              <w:t>Group</w:t>
            </w:r>
          </w:p>
        </w:tc>
        <w:tc>
          <w:tcPr>
            <w:tcW w:type="dxa" w:w="1296"/>
            <w:shd w:val="clear" w:color="auto" w:fill="D9E2F3"/>
          </w:tcPr>
          <w:p>
            <w:pPr>
              <w:spacing w:after="0" w:line="240" w:lineRule="auto"/>
              <w:jc w:val="center"/>
            </w:pPr>
            <w:r/>
            <w:r>
              <w:rPr>
                <w:b/>
                <w:sz w:val="14"/>
              </w:rPr>
              <w:t>n (deaths)</w:t>
            </w:r>
          </w:p>
        </w:tc>
        <w:tc>
          <w:tcPr>
            <w:tcW w:type="dxa" w:w="792"/>
            <w:shd w:val="clear" w:color="auto" w:fill="D9E2F3"/>
          </w:tcPr>
          <w:p>
            <w:pPr>
              <w:spacing w:after="0" w:line="240" w:lineRule="auto"/>
              <w:jc w:val="center"/>
            </w:pPr>
            <w:r/>
            <w:r>
              <w:rPr>
                <w:b/>
                <w:sz w:val="14"/>
              </w:rPr>
              <w:t>SOFA-2 AUROC</w:t>
            </w:r>
          </w:p>
        </w:tc>
        <w:tc>
          <w:tcPr>
            <w:tcW w:type="dxa" w:w="1656"/>
            <w:shd w:val="clear" w:color="auto" w:fill="D9E2F3"/>
          </w:tcPr>
          <w:p>
            <w:pPr>
              <w:spacing w:after="0" w:line="240" w:lineRule="auto"/>
              <w:jc w:val="center"/>
            </w:pPr>
            <w:r/>
            <w:r>
              <w:rPr>
                <w:b/>
                <w:sz w:val="14"/>
              </w:rPr>
              <w:t>ΔAUROC vs as charted</w:t>
            </w:r>
          </w:p>
        </w:tc>
        <w:tc>
          <w:tcPr>
            <w:tcW w:type="dxa" w:w="1656"/>
            <w:shd w:val="clear" w:color="auto" w:fill="D9E2F3"/>
          </w:tcPr>
          <w:p>
            <w:pPr>
              <w:spacing w:after="0" w:line="240" w:lineRule="auto"/>
              <w:jc w:val="center"/>
            </w:pPr>
            <w:r/>
            <w:r>
              <w:rPr>
                <w:b/>
                <w:sz w:val="14"/>
              </w:rPr>
              <w:t>ΔAUROC vs community</w:t>
            </w:r>
          </w:p>
        </w:tc>
        <w:tc>
          <w:tcPr>
            <w:tcW w:type="dxa" w:w="1656"/>
            <w:shd w:val="clear" w:color="auto" w:fill="D9E2F3"/>
          </w:tcPr>
          <w:p>
            <w:pPr>
              <w:spacing w:after="0" w:line="240" w:lineRule="auto"/>
              <w:jc w:val="center"/>
            </w:pPr>
            <w:r/>
            <w:r>
              <w:rPr>
                <w:b/>
                <w:sz w:val="14"/>
              </w:rPr>
              <w:t>Δgap vs as charted</w:t>
            </w:r>
          </w:p>
        </w:tc>
        <w:tc>
          <w:tcPr>
            <w:tcW w:type="dxa" w:w="1656"/>
            <w:shd w:val="clear" w:color="auto" w:fill="D9E2F3"/>
          </w:tcPr>
          <w:p>
            <w:pPr>
              <w:spacing w:after="0" w:line="240" w:lineRule="auto"/>
              <w:jc w:val="center"/>
            </w:pPr>
            <w:r/>
            <w:r>
              <w:rPr>
                <w:b/>
                <w:sz w:val="14"/>
              </w:rPr>
              <w:t>Δgap vs community</w:t>
            </w:r>
          </w:p>
        </w:tc>
      </w:tr>
      <w:tr>
        <w:trPr>
          <w:cantSplit w:val="true"/>
        </w:trPr>
        <w:tc>
          <w:tcPr>
            <w:tcW w:type="dxa" w:w="2016"/>
          </w:tcPr>
          <w:p>
            <w:pPr>
              <w:spacing w:after="0" w:line="240" w:lineRule="auto"/>
            </w:pPr>
            <w:r/>
            <w:r>
              <w:rPr>
                <w:b w:val="0"/>
                <w:sz w:val="14"/>
              </w:rPr>
              <w:t>Sex: Male</w:t>
            </w:r>
          </w:p>
        </w:tc>
        <w:tc>
          <w:tcPr>
            <w:tcW w:type="dxa" w:w="1296"/>
          </w:tcPr>
          <w:p>
            <w:pPr>
              <w:spacing w:after="0" w:line="240" w:lineRule="auto"/>
              <w:jc w:val="center"/>
            </w:pPr>
            <w:r/>
            <w:r>
              <w:rPr>
                <w:b w:val="0"/>
                <w:sz w:val="14"/>
              </w:rPr>
              <w:t>47,520 (3,443)</w:t>
            </w:r>
          </w:p>
        </w:tc>
        <w:tc>
          <w:tcPr>
            <w:tcW w:type="dxa" w:w="792"/>
          </w:tcPr>
          <w:p>
            <w:pPr>
              <w:spacing w:after="0" w:line="240" w:lineRule="auto"/>
              <w:jc w:val="center"/>
            </w:pPr>
            <w:r/>
            <w:r>
              <w:rPr>
                <w:b w:val="0"/>
                <w:sz w:val="14"/>
              </w:rPr>
              <w:t>0.805</w:t>
            </w:r>
          </w:p>
        </w:tc>
        <w:tc>
          <w:tcPr>
            <w:tcW w:type="dxa" w:w="1656"/>
          </w:tcPr>
          <w:p>
            <w:pPr>
              <w:spacing w:after="0" w:line="240" w:lineRule="auto"/>
              <w:jc w:val="center"/>
            </w:pPr>
            <w:r/>
            <w:r>
              <w:rPr>
                <w:b w:val="0"/>
                <w:sz w:val="14"/>
              </w:rPr>
              <w:t>+0.021 (+0.016 to +0.026)</w:t>
            </w:r>
          </w:p>
        </w:tc>
        <w:tc>
          <w:tcPr>
            <w:tcW w:type="dxa" w:w="1656"/>
          </w:tcPr>
          <w:p>
            <w:pPr>
              <w:spacing w:after="0" w:line="240" w:lineRule="auto"/>
              <w:jc w:val="center"/>
            </w:pPr>
            <w:r/>
            <w:r>
              <w:rPr>
                <w:b w:val="0"/>
                <w:sz w:val="14"/>
              </w:rPr>
              <w:t>+0.038 (+0.032 to +0.043)</w:t>
            </w:r>
          </w:p>
        </w:tc>
        <w:tc>
          <w:tcPr>
            <w:tcW w:type="dxa" w:w="1656"/>
          </w:tcPr>
          <w:p>
            <w:pPr>
              <w:spacing w:after="0" w:line="240" w:lineRule="auto"/>
              <w:jc w:val="center"/>
            </w:pPr>
            <w:r/>
            <w:r>
              <w:rPr>
                <w:b w:val="0"/>
                <w:sz w:val="14"/>
              </w:rPr>
              <w:t>reference</w:t>
            </w:r>
          </w:p>
        </w:tc>
        <w:tc>
          <w:tcPr>
            <w:tcW w:type="dxa" w:w="1656"/>
          </w:tcPr>
          <w:p>
            <w:pPr>
              <w:spacing w:after="0" w:line="240" w:lineRule="auto"/>
              <w:jc w:val="center"/>
            </w:pPr>
            <w:r/>
            <w:r>
              <w:rPr>
                <w:b w:val="0"/>
                <w:sz w:val="14"/>
              </w:rPr>
              <w:t>reference</w:t>
            </w:r>
          </w:p>
        </w:tc>
      </w:tr>
      <w:tr>
        <w:trPr>
          <w:cantSplit w:val="true"/>
        </w:trPr>
        <w:tc>
          <w:tcPr>
            <w:tcW w:type="dxa" w:w="2016"/>
          </w:tcPr>
          <w:p>
            <w:pPr>
              <w:spacing w:after="0" w:line="240" w:lineRule="auto"/>
            </w:pPr>
            <w:r/>
            <w:r>
              <w:rPr>
                <w:b w:val="0"/>
                <w:sz w:val="14"/>
              </w:rPr>
              <w:t>Sex: Female</w:t>
            </w:r>
          </w:p>
        </w:tc>
        <w:tc>
          <w:tcPr>
            <w:tcW w:type="dxa" w:w="1296"/>
          </w:tcPr>
          <w:p>
            <w:pPr>
              <w:spacing w:after="0" w:line="240" w:lineRule="auto"/>
              <w:jc w:val="center"/>
            </w:pPr>
            <w:r/>
            <w:r>
              <w:rPr>
                <w:b w:val="0"/>
                <w:sz w:val="14"/>
              </w:rPr>
              <w:t>37,708 (2,783)</w:t>
            </w:r>
          </w:p>
        </w:tc>
        <w:tc>
          <w:tcPr>
            <w:tcW w:type="dxa" w:w="792"/>
          </w:tcPr>
          <w:p>
            <w:pPr>
              <w:spacing w:after="0" w:line="240" w:lineRule="auto"/>
              <w:jc w:val="center"/>
            </w:pPr>
            <w:r/>
            <w:r>
              <w:rPr>
                <w:b w:val="0"/>
                <w:sz w:val="14"/>
              </w:rPr>
              <w:t>0.807</w:t>
            </w:r>
          </w:p>
        </w:tc>
        <w:tc>
          <w:tcPr>
            <w:tcW w:type="dxa" w:w="1656"/>
          </w:tcPr>
          <w:p>
            <w:pPr>
              <w:spacing w:after="0" w:line="240" w:lineRule="auto"/>
              <w:jc w:val="center"/>
            </w:pPr>
            <w:r/>
            <w:r>
              <w:rPr>
                <w:b w:val="0"/>
                <w:sz w:val="14"/>
              </w:rPr>
              <w:t>+0.004 (−0.002 to +0.010)</w:t>
            </w:r>
          </w:p>
        </w:tc>
        <w:tc>
          <w:tcPr>
            <w:tcW w:type="dxa" w:w="1656"/>
          </w:tcPr>
          <w:p>
            <w:pPr>
              <w:spacing w:after="0" w:line="240" w:lineRule="auto"/>
              <w:jc w:val="center"/>
            </w:pPr>
            <w:r/>
            <w:r>
              <w:rPr>
                <w:b w:val="0"/>
                <w:sz w:val="14"/>
              </w:rPr>
              <w:t>+0.038 (+0.031 to +0.045)</w:t>
            </w:r>
          </w:p>
        </w:tc>
        <w:tc>
          <w:tcPr>
            <w:tcW w:type="dxa" w:w="1656"/>
          </w:tcPr>
          <w:p>
            <w:pPr>
              <w:spacing w:after="0" w:line="240" w:lineRule="auto"/>
              <w:jc w:val="center"/>
            </w:pPr>
            <w:r/>
            <w:r>
              <w:rPr>
                <w:b w:val="0"/>
                <w:sz w:val="14"/>
              </w:rPr>
              <w:t>+0.017 (+0.009 to +0.025)</w:t>
            </w:r>
          </w:p>
        </w:tc>
        <w:tc>
          <w:tcPr>
            <w:tcW w:type="dxa" w:w="1656"/>
          </w:tcPr>
          <w:p>
            <w:pPr>
              <w:spacing w:after="0" w:line="240" w:lineRule="auto"/>
              <w:jc w:val="center"/>
            </w:pPr>
            <w:r/>
            <w:r>
              <w:rPr>
                <w:b w:val="0"/>
                <w:sz w:val="14"/>
              </w:rPr>
              <w:t>0.000 (−0.009 to +0.009)</w:t>
            </w:r>
          </w:p>
        </w:tc>
      </w:tr>
      <w:tr>
        <w:trPr>
          <w:cantSplit w:val="true"/>
        </w:trPr>
        <w:tc>
          <w:tcPr>
            <w:tcW w:type="dxa" w:w="2016"/>
          </w:tcPr>
          <w:p>
            <w:pPr>
              <w:spacing w:after="0" w:line="240" w:lineRule="auto"/>
            </w:pPr>
            <w:r/>
            <w:r>
              <w:rPr>
                <w:b w:val="0"/>
                <w:sz w:val="14"/>
              </w:rPr>
              <w:t>Race: White</w:t>
            </w:r>
          </w:p>
        </w:tc>
        <w:tc>
          <w:tcPr>
            <w:tcW w:type="dxa" w:w="1296"/>
          </w:tcPr>
          <w:p>
            <w:pPr>
              <w:spacing w:after="0" w:line="240" w:lineRule="auto"/>
              <w:jc w:val="center"/>
            </w:pPr>
            <w:r/>
            <w:r>
              <w:rPr>
                <w:b w:val="0"/>
                <w:sz w:val="14"/>
              </w:rPr>
              <w:t>56,537 (3,642)</w:t>
            </w:r>
          </w:p>
        </w:tc>
        <w:tc>
          <w:tcPr>
            <w:tcW w:type="dxa" w:w="792"/>
          </w:tcPr>
          <w:p>
            <w:pPr>
              <w:spacing w:after="0" w:line="240" w:lineRule="auto"/>
              <w:jc w:val="center"/>
            </w:pPr>
            <w:r/>
            <w:r>
              <w:rPr>
                <w:b w:val="0"/>
                <w:sz w:val="14"/>
              </w:rPr>
              <w:t>0.803</w:t>
            </w:r>
          </w:p>
        </w:tc>
        <w:tc>
          <w:tcPr>
            <w:tcW w:type="dxa" w:w="1656"/>
          </w:tcPr>
          <w:p>
            <w:pPr>
              <w:spacing w:after="0" w:line="240" w:lineRule="auto"/>
              <w:jc w:val="center"/>
            </w:pPr>
            <w:r/>
            <w:r>
              <w:rPr>
                <w:b w:val="0"/>
                <w:sz w:val="14"/>
              </w:rPr>
              <w:t>+0.022 (+0.017 to +0.027)</w:t>
            </w:r>
          </w:p>
        </w:tc>
        <w:tc>
          <w:tcPr>
            <w:tcW w:type="dxa" w:w="1656"/>
          </w:tcPr>
          <w:p>
            <w:pPr>
              <w:spacing w:after="0" w:line="240" w:lineRule="auto"/>
              <w:jc w:val="center"/>
            </w:pPr>
            <w:r/>
            <w:r>
              <w:rPr>
                <w:b w:val="0"/>
                <w:sz w:val="14"/>
              </w:rPr>
              <w:t>+0.037 (+0.031 to +0.043)</w:t>
            </w:r>
          </w:p>
        </w:tc>
        <w:tc>
          <w:tcPr>
            <w:tcW w:type="dxa" w:w="1656"/>
          </w:tcPr>
          <w:p>
            <w:pPr>
              <w:spacing w:after="0" w:line="240" w:lineRule="auto"/>
              <w:jc w:val="center"/>
            </w:pPr>
            <w:r/>
            <w:r>
              <w:rPr>
                <w:b w:val="0"/>
                <w:sz w:val="14"/>
              </w:rPr>
              <w:t>reference</w:t>
            </w:r>
          </w:p>
        </w:tc>
        <w:tc>
          <w:tcPr>
            <w:tcW w:type="dxa" w:w="1656"/>
          </w:tcPr>
          <w:p>
            <w:pPr>
              <w:spacing w:after="0" w:line="240" w:lineRule="auto"/>
              <w:jc w:val="center"/>
            </w:pPr>
            <w:r/>
            <w:r>
              <w:rPr>
                <w:b w:val="0"/>
                <w:sz w:val="14"/>
              </w:rPr>
              <w:t>reference</w:t>
            </w:r>
          </w:p>
        </w:tc>
      </w:tr>
      <w:tr>
        <w:trPr>
          <w:cantSplit w:val="true"/>
        </w:trPr>
        <w:tc>
          <w:tcPr>
            <w:tcW w:type="dxa" w:w="2016"/>
          </w:tcPr>
          <w:p>
            <w:pPr>
              <w:spacing w:after="0" w:line="240" w:lineRule="auto"/>
            </w:pPr>
            <w:r/>
            <w:r>
              <w:rPr>
                <w:b w:val="0"/>
                <w:sz w:val="14"/>
              </w:rPr>
              <w:t>Race: Black</w:t>
            </w:r>
          </w:p>
        </w:tc>
        <w:tc>
          <w:tcPr>
            <w:tcW w:type="dxa" w:w="1296"/>
          </w:tcPr>
          <w:p>
            <w:pPr>
              <w:spacing w:after="0" w:line="240" w:lineRule="auto"/>
              <w:jc w:val="center"/>
            </w:pPr>
            <w:r/>
            <w:r>
              <w:rPr>
                <w:b w:val="0"/>
                <w:sz w:val="14"/>
              </w:rPr>
              <w:t>9,364 (582)</w:t>
            </w:r>
          </w:p>
        </w:tc>
        <w:tc>
          <w:tcPr>
            <w:tcW w:type="dxa" w:w="792"/>
          </w:tcPr>
          <w:p>
            <w:pPr>
              <w:spacing w:after="0" w:line="240" w:lineRule="auto"/>
              <w:jc w:val="center"/>
            </w:pPr>
            <w:r/>
            <w:r>
              <w:rPr>
                <w:b w:val="0"/>
                <w:sz w:val="14"/>
              </w:rPr>
              <w:t>0.813</w:t>
            </w:r>
          </w:p>
        </w:tc>
        <w:tc>
          <w:tcPr>
            <w:tcW w:type="dxa" w:w="1656"/>
          </w:tcPr>
          <w:p>
            <w:pPr>
              <w:spacing w:after="0" w:line="240" w:lineRule="auto"/>
              <w:jc w:val="center"/>
            </w:pPr>
            <w:r/>
            <w:r>
              <w:rPr>
                <w:b w:val="0"/>
                <w:sz w:val="14"/>
              </w:rPr>
              <w:t>−0.003 (−0.016 to +0.010)</w:t>
            </w:r>
          </w:p>
        </w:tc>
        <w:tc>
          <w:tcPr>
            <w:tcW w:type="dxa" w:w="1656"/>
          </w:tcPr>
          <w:p>
            <w:pPr>
              <w:spacing w:after="0" w:line="240" w:lineRule="auto"/>
              <w:jc w:val="center"/>
            </w:pPr>
            <w:r/>
            <w:r>
              <w:rPr>
                <w:b w:val="0"/>
                <w:sz w:val="14"/>
              </w:rPr>
              <w:t>+0.025 (+0.012 to +0.039)</w:t>
            </w:r>
          </w:p>
        </w:tc>
        <w:tc>
          <w:tcPr>
            <w:tcW w:type="dxa" w:w="1656"/>
          </w:tcPr>
          <w:p>
            <w:pPr>
              <w:spacing w:after="0" w:line="240" w:lineRule="auto"/>
              <w:jc w:val="center"/>
            </w:pPr>
            <w:r/>
            <w:r>
              <w:rPr>
                <w:b w:val="0"/>
                <w:sz w:val="14"/>
              </w:rPr>
              <w:t>+0.025 (+0.011 to +0.039)</w:t>
            </w:r>
          </w:p>
        </w:tc>
        <w:tc>
          <w:tcPr>
            <w:tcW w:type="dxa" w:w="1656"/>
          </w:tcPr>
          <w:p>
            <w:pPr>
              <w:spacing w:after="0" w:line="240" w:lineRule="auto"/>
              <w:jc w:val="center"/>
            </w:pPr>
            <w:r/>
            <w:r>
              <w:rPr>
                <w:b w:val="0"/>
                <w:sz w:val="14"/>
              </w:rPr>
              <w:t>+0.012 (−0.003 to +0.027)</w:t>
            </w:r>
          </w:p>
        </w:tc>
      </w:tr>
      <w:tr>
        <w:trPr>
          <w:cantSplit w:val="true"/>
        </w:trPr>
        <w:tc>
          <w:tcPr>
            <w:tcW w:type="dxa" w:w="2016"/>
          </w:tcPr>
          <w:p>
            <w:pPr>
              <w:spacing w:after="0" w:line="240" w:lineRule="auto"/>
            </w:pPr>
            <w:r/>
            <w:r>
              <w:rPr>
                <w:b w:val="0"/>
                <w:sz w:val="14"/>
              </w:rPr>
              <w:t>Race: Hispanic/Latino</w:t>
            </w:r>
          </w:p>
        </w:tc>
        <w:tc>
          <w:tcPr>
            <w:tcW w:type="dxa" w:w="1296"/>
          </w:tcPr>
          <w:p>
            <w:pPr>
              <w:spacing w:after="0" w:line="240" w:lineRule="auto"/>
              <w:jc w:val="center"/>
            </w:pPr>
            <w:r/>
            <w:r>
              <w:rPr>
                <w:b w:val="0"/>
                <w:sz w:val="14"/>
              </w:rPr>
              <w:t>3,291 (184)</w:t>
            </w:r>
          </w:p>
        </w:tc>
        <w:tc>
          <w:tcPr>
            <w:tcW w:type="dxa" w:w="792"/>
          </w:tcPr>
          <w:p>
            <w:pPr>
              <w:spacing w:after="0" w:line="240" w:lineRule="auto"/>
              <w:jc w:val="center"/>
            </w:pPr>
            <w:r/>
            <w:r>
              <w:rPr>
                <w:b w:val="0"/>
                <w:sz w:val="14"/>
              </w:rPr>
              <w:t>0.804</w:t>
            </w:r>
          </w:p>
        </w:tc>
        <w:tc>
          <w:tcPr>
            <w:tcW w:type="dxa" w:w="1656"/>
          </w:tcPr>
          <w:p>
            <w:pPr>
              <w:spacing w:after="0" w:line="240" w:lineRule="auto"/>
              <w:jc w:val="center"/>
            </w:pPr>
            <w:r/>
            <w:r>
              <w:rPr>
                <w:b w:val="0"/>
                <w:sz w:val="14"/>
              </w:rPr>
              <w:t>+0.017 (−0.006 to +0.040)</w:t>
            </w:r>
          </w:p>
        </w:tc>
        <w:tc>
          <w:tcPr>
            <w:tcW w:type="dxa" w:w="1656"/>
          </w:tcPr>
          <w:p>
            <w:pPr>
              <w:spacing w:after="0" w:line="240" w:lineRule="auto"/>
              <w:jc w:val="center"/>
            </w:pPr>
            <w:r/>
            <w:r>
              <w:rPr>
                <w:b w:val="0"/>
                <w:sz w:val="14"/>
              </w:rPr>
              <w:t>+0.037 (+0.014 to +0.061)</w:t>
            </w:r>
          </w:p>
        </w:tc>
        <w:tc>
          <w:tcPr>
            <w:tcW w:type="dxa" w:w="1656"/>
          </w:tcPr>
          <w:p>
            <w:pPr>
              <w:spacing w:after="0" w:line="240" w:lineRule="auto"/>
              <w:jc w:val="center"/>
            </w:pPr>
            <w:r/>
            <w:r>
              <w:rPr>
                <w:b w:val="0"/>
                <w:sz w:val="14"/>
              </w:rPr>
              <w:t>+0.005 (−0.018 to +0.029)</w:t>
            </w:r>
          </w:p>
        </w:tc>
        <w:tc>
          <w:tcPr>
            <w:tcW w:type="dxa" w:w="1656"/>
          </w:tcPr>
          <w:p>
            <w:pPr>
              <w:spacing w:after="0" w:line="240" w:lineRule="auto"/>
              <w:jc w:val="center"/>
            </w:pPr>
            <w:r/>
            <w:r>
              <w:rPr>
                <w:b w:val="0"/>
                <w:sz w:val="14"/>
              </w:rPr>
              <w:t>0.000 (−0.024 to +0.024)</w:t>
            </w:r>
          </w:p>
        </w:tc>
      </w:tr>
      <w:tr>
        <w:trPr>
          <w:cantSplit w:val="true"/>
        </w:trPr>
        <w:tc>
          <w:tcPr>
            <w:tcW w:type="dxa" w:w="2016"/>
          </w:tcPr>
          <w:p>
            <w:pPr>
              <w:spacing w:after="0" w:line="240" w:lineRule="auto"/>
            </w:pPr>
            <w:r/>
            <w:r>
              <w:rPr>
                <w:b w:val="0"/>
                <w:sz w:val="14"/>
              </w:rPr>
              <w:t>Race: Asian</w:t>
            </w:r>
          </w:p>
        </w:tc>
        <w:tc>
          <w:tcPr>
            <w:tcW w:type="dxa" w:w="1296"/>
          </w:tcPr>
          <w:p>
            <w:pPr>
              <w:spacing w:after="0" w:line="240" w:lineRule="auto"/>
              <w:jc w:val="center"/>
            </w:pPr>
            <w:r/>
            <w:r>
              <w:rPr>
                <w:b w:val="0"/>
                <w:sz w:val="14"/>
              </w:rPr>
              <w:t>2,617 (198)</w:t>
            </w:r>
          </w:p>
        </w:tc>
        <w:tc>
          <w:tcPr>
            <w:tcW w:type="dxa" w:w="792"/>
          </w:tcPr>
          <w:p>
            <w:pPr>
              <w:spacing w:after="0" w:line="240" w:lineRule="auto"/>
              <w:jc w:val="center"/>
            </w:pPr>
            <w:r/>
            <w:r>
              <w:rPr>
                <w:b w:val="0"/>
                <w:sz w:val="14"/>
              </w:rPr>
              <w:t>0.804</w:t>
            </w:r>
          </w:p>
        </w:tc>
        <w:tc>
          <w:tcPr>
            <w:tcW w:type="dxa" w:w="1656"/>
          </w:tcPr>
          <w:p>
            <w:pPr>
              <w:spacing w:after="0" w:line="240" w:lineRule="auto"/>
              <w:jc w:val="center"/>
            </w:pPr>
            <w:r/>
            <w:r>
              <w:rPr>
                <w:b w:val="0"/>
                <w:sz w:val="14"/>
              </w:rPr>
              <w:t>+0.026 (+0.003 to +0.049)</w:t>
            </w:r>
          </w:p>
        </w:tc>
        <w:tc>
          <w:tcPr>
            <w:tcW w:type="dxa" w:w="1656"/>
          </w:tcPr>
          <w:p>
            <w:pPr>
              <w:spacing w:after="0" w:line="240" w:lineRule="auto"/>
              <w:jc w:val="center"/>
            </w:pPr>
            <w:r/>
            <w:r>
              <w:rPr>
                <w:b w:val="0"/>
                <w:sz w:val="14"/>
              </w:rPr>
              <w:t>+0.068 (+0.040 to +0.095)</w:t>
            </w:r>
          </w:p>
        </w:tc>
        <w:tc>
          <w:tcPr>
            <w:tcW w:type="dxa" w:w="1656"/>
          </w:tcPr>
          <w:p>
            <w:pPr>
              <w:spacing w:after="0" w:line="240" w:lineRule="auto"/>
              <w:jc w:val="center"/>
            </w:pPr>
            <w:r/>
            <w:r>
              <w:rPr>
                <w:b w:val="0"/>
                <w:sz w:val="14"/>
              </w:rPr>
              <w:t>−0.004 (−0.028 to +0.019)</w:t>
            </w:r>
          </w:p>
        </w:tc>
        <w:tc>
          <w:tcPr>
            <w:tcW w:type="dxa" w:w="1656"/>
          </w:tcPr>
          <w:p>
            <w:pPr>
              <w:spacing w:after="0" w:line="240" w:lineRule="auto"/>
              <w:jc w:val="center"/>
            </w:pPr>
            <w:r/>
            <w:r>
              <w:rPr>
                <w:b w:val="0"/>
                <w:sz w:val="14"/>
              </w:rPr>
              <w:t>−0.031 (−0.058 to −0.003)</w:t>
            </w:r>
          </w:p>
        </w:tc>
      </w:tr>
      <w:tr>
        <w:trPr>
          <w:cantSplit w:val="true"/>
        </w:trPr>
        <w:tc>
          <w:tcPr>
            <w:tcW w:type="dxa" w:w="2016"/>
          </w:tcPr>
          <w:p>
            <w:pPr>
              <w:spacing w:after="0" w:line="240" w:lineRule="auto"/>
            </w:pPr>
            <w:r/>
            <w:r>
              <w:rPr>
                <w:b w:val="0"/>
                <w:sz w:val="14"/>
              </w:rPr>
              <w:t>Race: Other</w:t>
            </w:r>
          </w:p>
        </w:tc>
        <w:tc>
          <w:tcPr>
            <w:tcW w:type="dxa" w:w="1296"/>
          </w:tcPr>
          <w:p>
            <w:pPr>
              <w:spacing w:after="0" w:line="240" w:lineRule="auto"/>
              <w:jc w:val="center"/>
            </w:pPr>
            <w:r/>
            <w:r>
              <w:rPr>
                <w:b w:val="0"/>
                <w:sz w:val="14"/>
              </w:rPr>
              <w:t>3,651 (228)</w:t>
            </w:r>
          </w:p>
        </w:tc>
        <w:tc>
          <w:tcPr>
            <w:tcW w:type="dxa" w:w="792"/>
          </w:tcPr>
          <w:p>
            <w:pPr>
              <w:spacing w:after="0" w:line="240" w:lineRule="auto"/>
              <w:jc w:val="center"/>
            </w:pPr>
            <w:r/>
            <w:r>
              <w:rPr>
                <w:b w:val="0"/>
                <w:sz w:val="14"/>
              </w:rPr>
              <w:t>0.802</w:t>
            </w:r>
          </w:p>
        </w:tc>
        <w:tc>
          <w:tcPr>
            <w:tcW w:type="dxa" w:w="1656"/>
          </w:tcPr>
          <w:p>
            <w:pPr>
              <w:spacing w:after="0" w:line="240" w:lineRule="auto"/>
              <w:jc w:val="center"/>
            </w:pPr>
            <w:r/>
            <w:r>
              <w:rPr>
                <w:b w:val="0"/>
                <w:sz w:val="14"/>
              </w:rPr>
              <w:t>+0.025 (+0.006 to +0.045)</w:t>
            </w:r>
          </w:p>
        </w:tc>
        <w:tc>
          <w:tcPr>
            <w:tcW w:type="dxa" w:w="1656"/>
          </w:tcPr>
          <w:p>
            <w:pPr>
              <w:spacing w:after="0" w:line="240" w:lineRule="auto"/>
              <w:jc w:val="center"/>
            </w:pPr>
            <w:r/>
            <w:r>
              <w:rPr>
                <w:b w:val="0"/>
                <w:sz w:val="14"/>
              </w:rPr>
              <w:t>+0.042 (+0.020 to +0.064)</w:t>
            </w:r>
          </w:p>
        </w:tc>
        <w:tc>
          <w:tcPr>
            <w:tcW w:type="dxa" w:w="1656"/>
          </w:tcPr>
          <w:p>
            <w:pPr>
              <w:spacing w:after="0" w:line="240" w:lineRule="auto"/>
              <w:jc w:val="center"/>
            </w:pPr>
            <w:r/>
            <w:r>
              <w:rPr>
                <w:b w:val="0"/>
                <w:sz w:val="14"/>
              </w:rPr>
              <w:t>−0.004 (−0.024 to +0.016)</w:t>
            </w:r>
          </w:p>
        </w:tc>
        <w:tc>
          <w:tcPr>
            <w:tcW w:type="dxa" w:w="1656"/>
          </w:tcPr>
          <w:p>
            <w:pPr>
              <w:spacing w:after="0" w:line="240" w:lineRule="auto"/>
              <w:jc w:val="center"/>
            </w:pPr>
            <w:r/>
            <w:r>
              <w:rPr>
                <w:b w:val="0"/>
                <w:sz w:val="14"/>
              </w:rPr>
              <w:t>−0.005 (−0.027 to +0.017)</w:t>
            </w:r>
          </w:p>
        </w:tc>
      </w:tr>
      <w:tr>
        <w:trPr>
          <w:cantSplit w:val="true"/>
        </w:trPr>
        <w:tc>
          <w:tcPr>
            <w:tcW w:type="dxa" w:w="2016"/>
          </w:tcPr>
          <w:p>
            <w:pPr>
              <w:spacing w:after="0" w:line="240" w:lineRule="auto"/>
            </w:pPr>
            <w:r/>
            <w:r>
              <w:rPr>
                <w:b w:val="0"/>
                <w:sz w:val="14"/>
              </w:rPr>
              <w:t>Insurance: Medicare</w:t>
            </w:r>
          </w:p>
        </w:tc>
        <w:tc>
          <w:tcPr>
            <w:tcW w:type="dxa" w:w="1296"/>
          </w:tcPr>
          <w:p>
            <w:pPr>
              <w:spacing w:after="0" w:line="240" w:lineRule="auto"/>
              <w:jc w:val="center"/>
            </w:pPr>
            <w:r/>
            <w:r>
              <w:rPr>
                <w:b w:val="0"/>
                <w:sz w:val="14"/>
              </w:rPr>
              <w:t>46,609 (3,946)</w:t>
            </w:r>
          </w:p>
        </w:tc>
        <w:tc>
          <w:tcPr>
            <w:tcW w:type="dxa" w:w="792"/>
          </w:tcPr>
          <w:p>
            <w:pPr>
              <w:spacing w:after="0" w:line="240" w:lineRule="auto"/>
              <w:jc w:val="center"/>
            </w:pPr>
            <w:r/>
            <w:r>
              <w:rPr>
                <w:b w:val="0"/>
                <w:sz w:val="14"/>
              </w:rPr>
              <w:t>0.779</w:t>
            </w:r>
          </w:p>
        </w:tc>
        <w:tc>
          <w:tcPr>
            <w:tcW w:type="dxa" w:w="1656"/>
          </w:tcPr>
          <w:p>
            <w:pPr>
              <w:spacing w:after="0" w:line="240" w:lineRule="auto"/>
              <w:jc w:val="center"/>
            </w:pPr>
            <w:r/>
            <w:r>
              <w:rPr>
                <w:b w:val="0"/>
                <w:sz w:val="14"/>
              </w:rPr>
              <w:t>+0.014 (+0.008 to +0.019)</w:t>
            </w:r>
          </w:p>
        </w:tc>
        <w:tc>
          <w:tcPr>
            <w:tcW w:type="dxa" w:w="1656"/>
          </w:tcPr>
          <w:p>
            <w:pPr>
              <w:spacing w:after="0" w:line="240" w:lineRule="auto"/>
              <w:jc w:val="center"/>
            </w:pPr>
            <w:r/>
            <w:r>
              <w:rPr>
                <w:b w:val="0"/>
                <w:sz w:val="14"/>
              </w:rPr>
              <w:t>+0.038 (+0.032 to +0.044)</w:t>
            </w:r>
          </w:p>
        </w:tc>
        <w:tc>
          <w:tcPr>
            <w:tcW w:type="dxa" w:w="1656"/>
          </w:tcPr>
          <w:p>
            <w:pPr>
              <w:spacing w:after="0" w:line="240" w:lineRule="auto"/>
              <w:jc w:val="center"/>
            </w:pPr>
            <w:r/>
            <w:r>
              <w:rPr>
                <w:b w:val="0"/>
                <w:sz w:val="14"/>
              </w:rPr>
              <w:t>reference</w:t>
            </w:r>
          </w:p>
        </w:tc>
        <w:tc>
          <w:tcPr>
            <w:tcW w:type="dxa" w:w="1656"/>
          </w:tcPr>
          <w:p>
            <w:pPr>
              <w:spacing w:after="0" w:line="240" w:lineRule="auto"/>
              <w:jc w:val="center"/>
            </w:pPr>
            <w:r/>
            <w:r>
              <w:rPr>
                <w:b w:val="0"/>
                <w:sz w:val="14"/>
              </w:rPr>
              <w:t>reference</w:t>
            </w:r>
          </w:p>
        </w:tc>
      </w:tr>
      <w:tr>
        <w:trPr>
          <w:cantSplit w:val="true"/>
        </w:trPr>
        <w:tc>
          <w:tcPr>
            <w:tcW w:type="dxa" w:w="2016"/>
          </w:tcPr>
          <w:p>
            <w:pPr>
              <w:spacing w:after="0" w:line="240" w:lineRule="auto"/>
            </w:pPr>
            <w:r/>
            <w:r>
              <w:rPr>
                <w:b w:val="0"/>
                <w:sz w:val="14"/>
              </w:rPr>
              <w:t>Insurance: Medicaid</w:t>
            </w:r>
          </w:p>
        </w:tc>
        <w:tc>
          <w:tcPr>
            <w:tcW w:type="dxa" w:w="1296"/>
          </w:tcPr>
          <w:p>
            <w:pPr>
              <w:spacing w:after="0" w:line="240" w:lineRule="auto"/>
              <w:jc w:val="center"/>
            </w:pPr>
            <w:r/>
            <w:r>
              <w:rPr>
                <w:b w:val="0"/>
                <w:sz w:val="14"/>
              </w:rPr>
              <w:t>12,809 (755)</w:t>
            </w:r>
          </w:p>
        </w:tc>
        <w:tc>
          <w:tcPr>
            <w:tcW w:type="dxa" w:w="792"/>
          </w:tcPr>
          <w:p>
            <w:pPr>
              <w:spacing w:after="0" w:line="240" w:lineRule="auto"/>
              <w:jc w:val="center"/>
            </w:pPr>
            <w:r/>
            <w:r>
              <w:rPr>
                <w:b w:val="0"/>
                <w:sz w:val="14"/>
              </w:rPr>
              <w:t>0.841</w:t>
            </w:r>
          </w:p>
        </w:tc>
        <w:tc>
          <w:tcPr>
            <w:tcW w:type="dxa" w:w="1656"/>
          </w:tcPr>
          <w:p>
            <w:pPr>
              <w:spacing w:after="0" w:line="240" w:lineRule="auto"/>
              <w:jc w:val="center"/>
            </w:pPr>
            <w:r/>
            <w:r>
              <w:rPr>
                <w:b w:val="0"/>
                <w:sz w:val="14"/>
              </w:rPr>
              <w:t>+0.001 (−0.010 to +0.011)</w:t>
            </w:r>
          </w:p>
        </w:tc>
        <w:tc>
          <w:tcPr>
            <w:tcW w:type="dxa" w:w="1656"/>
          </w:tcPr>
          <w:p>
            <w:pPr>
              <w:spacing w:after="0" w:line="240" w:lineRule="auto"/>
              <w:jc w:val="center"/>
            </w:pPr>
            <w:r/>
            <w:r>
              <w:rPr>
                <w:b w:val="0"/>
                <w:sz w:val="14"/>
              </w:rPr>
              <w:t>+0.029 (+0.017 to +0.041)</w:t>
            </w:r>
          </w:p>
        </w:tc>
        <w:tc>
          <w:tcPr>
            <w:tcW w:type="dxa" w:w="1656"/>
          </w:tcPr>
          <w:p>
            <w:pPr>
              <w:spacing w:after="0" w:line="240" w:lineRule="auto"/>
              <w:jc w:val="center"/>
            </w:pPr>
            <w:r/>
            <w:r>
              <w:rPr>
                <w:b w:val="0"/>
                <w:sz w:val="14"/>
              </w:rPr>
              <w:t>+0.013 (+0.001 to +0.026)</w:t>
            </w:r>
          </w:p>
        </w:tc>
        <w:tc>
          <w:tcPr>
            <w:tcW w:type="dxa" w:w="1656"/>
          </w:tcPr>
          <w:p>
            <w:pPr>
              <w:spacing w:after="0" w:line="240" w:lineRule="auto"/>
              <w:jc w:val="center"/>
            </w:pPr>
            <w:r/>
            <w:r>
              <w:rPr>
                <w:b w:val="0"/>
                <w:sz w:val="14"/>
              </w:rPr>
              <w:t>+0.009 (−0.005 to +0.022)</w:t>
            </w:r>
          </w:p>
        </w:tc>
      </w:tr>
      <w:tr>
        <w:trPr>
          <w:cantSplit w:val="true"/>
        </w:trPr>
        <w:tc>
          <w:tcPr>
            <w:tcW w:type="dxa" w:w="2016"/>
          </w:tcPr>
          <w:p>
            <w:pPr>
              <w:spacing w:after="0" w:line="240" w:lineRule="auto"/>
            </w:pPr>
            <w:r/>
            <w:r>
              <w:rPr>
                <w:b w:val="0"/>
                <w:sz w:val="14"/>
              </w:rPr>
              <w:t>Insurance: Private</w:t>
            </w:r>
          </w:p>
        </w:tc>
        <w:tc>
          <w:tcPr>
            <w:tcW w:type="dxa" w:w="1296"/>
          </w:tcPr>
          <w:p>
            <w:pPr>
              <w:spacing w:after="0" w:line="240" w:lineRule="auto"/>
              <w:jc w:val="center"/>
            </w:pPr>
            <w:r/>
            <w:r>
              <w:rPr>
                <w:b w:val="0"/>
                <w:sz w:val="14"/>
              </w:rPr>
              <w:t>22,275 (1,120)</w:t>
            </w:r>
          </w:p>
        </w:tc>
        <w:tc>
          <w:tcPr>
            <w:tcW w:type="dxa" w:w="792"/>
          </w:tcPr>
          <w:p>
            <w:pPr>
              <w:spacing w:after="0" w:line="240" w:lineRule="auto"/>
              <w:jc w:val="center"/>
            </w:pPr>
            <w:r/>
            <w:r>
              <w:rPr>
                <w:b w:val="0"/>
                <w:sz w:val="14"/>
              </w:rPr>
              <w:t>0.841</w:t>
            </w:r>
          </w:p>
        </w:tc>
        <w:tc>
          <w:tcPr>
            <w:tcW w:type="dxa" w:w="1656"/>
          </w:tcPr>
          <w:p>
            <w:pPr>
              <w:spacing w:after="0" w:line="240" w:lineRule="auto"/>
              <w:jc w:val="center"/>
            </w:pPr>
            <w:r/>
            <w:r>
              <w:rPr>
                <w:b w:val="0"/>
                <w:sz w:val="14"/>
              </w:rPr>
              <w:t>+0.018 (+0.010 to +0.026)</w:t>
            </w:r>
          </w:p>
        </w:tc>
        <w:tc>
          <w:tcPr>
            <w:tcW w:type="dxa" w:w="1656"/>
          </w:tcPr>
          <w:p>
            <w:pPr>
              <w:spacing w:after="0" w:line="240" w:lineRule="auto"/>
              <w:jc w:val="center"/>
            </w:pPr>
            <w:r/>
            <w:r>
              <w:rPr>
                <w:b w:val="0"/>
                <w:sz w:val="14"/>
              </w:rPr>
              <w:t>+0.032 (+0.023 to +0.041)</w:t>
            </w:r>
          </w:p>
        </w:tc>
        <w:tc>
          <w:tcPr>
            <w:tcW w:type="dxa" w:w="1656"/>
          </w:tcPr>
          <w:p>
            <w:pPr>
              <w:spacing w:after="0" w:line="240" w:lineRule="auto"/>
              <w:jc w:val="center"/>
            </w:pPr>
            <w:r/>
            <w:r>
              <w:rPr>
                <w:b w:val="0"/>
                <w:sz w:val="14"/>
              </w:rPr>
              <w:t>−0.004 (−0.014 to +0.006)</w:t>
            </w:r>
          </w:p>
        </w:tc>
        <w:tc>
          <w:tcPr>
            <w:tcW w:type="dxa" w:w="1656"/>
          </w:tcPr>
          <w:p>
            <w:pPr>
              <w:spacing w:after="0" w:line="240" w:lineRule="auto"/>
              <w:jc w:val="center"/>
            </w:pPr>
            <w:r/>
            <w:r>
              <w:rPr>
                <w:b w:val="0"/>
                <w:sz w:val="14"/>
              </w:rPr>
              <w:t>+0.006 (−0.005 to +0.017)</w:t>
            </w:r>
          </w:p>
        </w:tc>
      </w:tr>
    </w:tbl>
    <w:p>
      <w:pPr>
        <w:spacing w:after="40"/>
      </w:pPr>
    </w:p>
    <w:p>
      <w:r>
        <w:br w:type="page"/>
      </w:r>
    </w:p>
    <w:p>
      <w:pPr>
        <w:keepNext/>
        <w:spacing w:after="60"/>
      </w:pPr>
      <w:r>
        <w:rPr>
          <w:b/>
          <w:sz w:val="19"/>
        </w:rPr>
        <w:t xml:space="preserve">Supplementary Table S7. </w:t>
      </w:r>
      <w:r>
        <w:rPr>
          <w:sz w:val="19"/>
        </w:rPr>
        <w:t>Analysis audit trail: every commit in the project repository (hash, date, subject), read from git log when this document was built.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1152"/>
            <w:shd w:val="clear" w:color="auto" w:fill="D9E2F3"/>
          </w:tcPr>
          <w:p>
            <w:pPr>
              <w:spacing w:after="0" w:line="240" w:lineRule="auto"/>
            </w:pPr>
            <w:r/>
            <w:r>
              <w:rPr>
                <w:b/>
                <w:sz w:val="15"/>
              </w:rPr>
              <w:t>Commit</w:t>
            </w:r>
          </w:p>
        </w:tc>
        <w:tc>
          <w:tcPr>
            <w:tcW w:type="dxa" w:w="1296"/>
            <w:shd w:val="clear" w:color="auto" w:fill="D9E2F3"/>
          </w:tcPr>
          <w:p>
            <w:pPr>
              <w:spacing w:after="0" w:line="240" w:lineRule="auto"/>
              <w:jc w:val="center"/>
            </w:pPr>
            <w:r/>
            <w:r>
              <w:rPr>
                <w:b/>
                <w:sz w:val="15"/>
              </w:rPr>
              <w:t>Date</w:t>
            </w:r>
          </w:p>
        </w:tc>
        <w:tc>
          <w:tcPr>
            <w:tcW w:type="dxa" w:w="7056"/>
            <w:shd w:val="clear" w:color="auto" w:fill="D9E2F3"/>
          </w:tcPr>
          <w:p>
            <w:pPr>
              <w:spacing w:after="0" w:line="240" w:lineRule="auto"/>
              <w:jc w:val="center"/>
            </w:pPr>
            <w:r/>
            <w:r>
              <w:rPr>
                <w:b/>
                <w:sz w:val="15"/>
              </w:rPr>
              <w:t>Subject</w:t>
            </w:r>
          </w:p>
        </w:tc>
      </w:tr>
      <w:tr>
        <w:trPr>
          <w:cantSplit w:val="true"/>
        </w:trPr>
        <w:tc>
          <w:tcPr>
            <w:tcW w:type="dxa" w:w="1152"/>
          </w:tcPr>
          <w:p>
            <w:pPr>
              <w:spacing w:after="0" w:line="240" w:lineRule="auto"/>
            </w:pPr>
            <w:r/>
            <w:r>
              <w:rPr>
                <w:b w:val="0"/>
                <w:sz w:val="15"/>
              </w:rPr>
              <w:t>8709b89</w:t>
            </w:r>
          </w:p>
        </w:tc>
        <w:tc>
          <w:tcPr>
            <w:tcW w:type="dxa" w:w="1296"/>
          </w:tcPr>
          <w:p>
            <w:pPr>
              <w:spacing w:after="0" w:line="240" w:lineRule="auto"/>
              <w:jc w:val="center"/>
            </w:pPr>
            <w:r/>
            <w:r>
              <w:rPr>
                <w:b w:val="0"/>
                <w:sz w:val="15"/>
              </w:rPr>
              <w:t>2026-10-07</w:t>
            </w:r>
          </w:p>
        </w:tc>
        <w:tc>
          <w:tcPr>
            <w:tcW w:type="dxa" w:w="7056"/>
          </w:tcPr>
          <w:p>
            <w:pPr>
              <w:spacing w:after="0" w:line="240" w:lineRule="auto"/>
              <w:jc w:val="center"/>
            </w:pPr>
            <w:r/>
            <w:r>
              <w:rPr>
                <w:b w:val="0"/>
                <w:sz w:val="15"/>
              </w:rPr>
              <w:t>protocol locked</w:t>
            </w:r>
          </w:p>
        </w:tc>
      </w:tr>
      <w:tr>
        <w:trPr>
          <w:cantSplit w:val="true"/>
        </w:trPr>
        <w:tc>
          <w:tcPr>
            <w:tcW w:type="dxa" w:w="1152"/>
          </w:tcPr>
          <w:p>
            <w:pPr>
              <w:spacing w:after="0" w:line="240" w:lineRule="auto"/>
            </w:pPr>
            <w:r/>
            <w:r>
              <w:rPr>
                <w:b w:val="0"/>
                <w:sz w:val="15"/>
              </w:rPr>
              <w:t>9c79350</w:t>
            </w:r>
          </w:p>
        </w:tc>
        <w:tc>
          <w:tcPr>
            <w:tcW w:type="dxa" w:w="1296"/>
          </w:tcPr>
          <w:p>
            <w:pPr>
              <w:spacing w:after="0" w:line="240" w:lineRule="auto"/>
              <w:jc w:val="center"/>
            </w:pPr>
            <w:r/>
            <w:r>
              <w:rPr>
                <w:b w:val="0"/>
                <w:sz w:val="15"/>
              </w:rPr>
              <w:t>2026-10-07</w:t>
            </w:r>
          </w:p>
        </w:tc>
        <w:tc>
          <w:tcPr>
            <w:tcW w:type="dxa" w:w="7056"/>
          </w:tcPr>
          <w:p>
            <w:pPr>
              <w:spacing w:after="0" w:line="240" w:lineRule="auto"/>
              <w:jc w:val="center"/>
            </w:pPr>
            <w:r/>
            <w:r>
              <w:rPr>
                <w:b w:val="0"/>
                <w:sz w:val="15"/>
              </w:rPr>
              <w:t>add AUROC bootstrap script and gitignore (no outcome analysis run yet)</w:t>
            </w:r>
          </w:p>
        </w:tc>
      </w:tr>
      <w:tr>
        <w:trPr>
          <w:cantSplit w:val="true"/>
        </w:trPr>
        <w:tc>
          <w:tcPr>
            <w:tcW w:type="dxa" w:w="1152"/>
          </w:tcPr>
          <w:p>
            <w:pPr>
              <w:spacing w:after="0" w:line="240" w:lineRule="auto"/>
            </w:pPr>
            <w:r/>
            <w:r>
              <w:rPr>
                <w:b w:val="0"/>
                <w:sz w:val="15"/>
              </w:rPr>
              <w:t>7c45af6</w:t>
            </w:r>
          </w:p>
        </w:tc>
        <w:tc>
          <w:tcPr>
            <w:tcW w:type="dxa" w:w="1296"/>
          </w:tcPr>
          <w:p>
            <w:pPr>
              <w:spacing w:after="0" w:line="240" w:lineRule="auto"/>
              <w:jc w:val="center"/>
            </w:pPr>
            <w:r/>
            <w:r>
              <w:rPr>
                <w:b w:val="0"/>
                <w:sz w:val="15"/>
              </w:rPr>
              <w:t>2026-10-07</w:t>
            </w:r>
          </w:p>
        </w:tc>
        <w:tc>
          <w:tcPr>
            <w:tcW w:type="dxa" w:w="7056"/>
          </w:tcPr>
          <w:p>
            <w:pPr>
              <w:spacing w:after="0" w:line="240" w:lineRule="auto"/>
              <w:jc w:val="center"/>
            </w:pPr>
            <w:r/>
            <w:r>
              <w:rPr>
                <w:b w:val="0"/>
                <w:sz w:val="15"/>
              </w:rPr>
              <w:t>add calibration script and item-ID exploration scripts (no outcome analysis run yet)</w:t>
            </w:r>
          </w:p>
        </w:tc>
      </w:tr>
      <w:tr>
        <w:trPr>
          <w:cantSplit w:val="true"/>
        </w:trPr>
        <w:tc>
          <w:tcPr>
            <w:tcW w:type="dxa" w:w="1152"/>
          </w:tcPr>
          <w:p>
            <w:pPr>
              <w:spacing w:after="0" w:line="240" w:lineRule="auto"/>
            </w:pPr>
            <w:r/>
            <w:r>
              <w:rPr>
                <w:b w:val="0"/>
                <w:sz w:val="15"/>
              </w:rPr>
              <w:t>46ad3a6</w:t>
            </w:r>
          </w:p>
        </w:tc>
        <w:tc>
          <w:tcPr>
            <w:tcW w:type="dxa" w:w="1296"/>
          </w:tcPr>
          <w:p>
            <w:pPr>
              <w:spacing w:after="0" w:line="240" w:lineRule="auto"/>
              <w:jc w:val="center"/>
            </w:pPr>
            <w:r/>
            <w:r>
              <w:rPr>
                <w:b w:val="0"/>
                <w:sz w:val="15"/>
              </w:rPr>
              <w:t>2026-10-07</w:t>
            </w:r>
          </w:p>
        </w:tc>
        <w:tc>
          <w:tcPr>
            <w:tcW w:type="dxa" w:w="7056"/>
          </w:tcPr>
          <w:p>
            <w:pPr>
              <w:spacing w:after="0" w:line="240" w:lineRule="auto"/>
              <w:jc w:val="center"/>
            </w:pPr>
            <w:r/>
            <w:r>
              <w:rPr>
                <w:b w:val="0"/>
                <w:sz w:val="15"/>
              </w:rPr>
              <w:t>add sed_broad sensitivity variant to SOFA-2 (primary results unchanged, verified)</w:t>
            </w:r>
          </w:p>
        </w:tc>
      </w:tr>
      <w:tr>
        <w:trPr>
          <w:cantSplit w:val="true"/>
        </w:trPr>
        <w:tc>
          <w:tcPr>
            <w:tcW w:type="dxa" w:w="1152"/>
          </w:tcPr>
          <w:p>
            <w:pPr>
              <w:spacing w:after="0" w:line="240" w:lineRule="auto"/>
            </w:pPr>
            <w:r/>
            <w:r>
              <w:rPr>
                <w:b w:val="0"/>
                <w:sz w:val="15"/>
              </w:rPr>
              <w:t>3002996</w:t>
            </w:r>
          </w:p>
        </w:tc>
        <w:tc>
          <w:tcPr>
            <w:tcW w:type="dxa" w:w="1296"/>
          </w:tcPr>
          <w:p>
            <w:pPr>
              <w:spacing w:after="0" w:line="240" w:lineRule="auto"/>
              <w:jc w:val="center"/>
            </w:pPr>
            <w:r/>
            <w:r>
              <w:rPr>
                <w:b w:val="0"/>
                <w:sz w:val="15"/>
              </w:rPr>
              <w:t>2026-10-07</w:t>
            </w:r>
          </w:p>
        </w:tc>
        <w:tc>
          <w:tcPr>
            <w:tcW w:type="dxa" w:w="7056"/>
          </w:tcPr>
          <w:p>
            <w:pPr>
              <w:spacing w:after="0" w:line="240" w:lineRule="auto"/>
              <w:jc w:val="center"/>
            </w:pPr>
            <w:r/>
            <w:r>
              <w:rPr>
                <w:b w:val="0"/>
                <w:sz w:val="15"/>
              </w:rPr>
              <w:t>amend before outcomes: broad sedation is primary SOFA-2 brain rule; infusion-only is a sensitivity analysis</w:t>
            </w:r>
          </w:p>
        </w:tc>
      </w:tr>
      <w:tr>
        <w:trPr>
          <w:cantSplit w:val="true"/>
        </w:trPr>
        <w:tc>
          <w:tcPr>
            <w:tcW w:type="dxa" w:w="1152"/>
          </w:tcPr>
          <w:p>
            <w:pPr>
              <w:spacing w:after="0" w:line="240" w:lineRule="auto"/>
            </w:pPr>
            <w:r/>
            <w:r>
              <w:rPr>
                <w:b w:val="0"/>
                <w:sz w:val="15"/>
              </w:rPr>
              <w:t>47bd0f0</w:t>
            </w:r>
          </w:p>
        </w:tc>
        <w:tc>
          <w:tcPr>
            <w:tcW w:type="dxa" w:w="1296"/>
          </w:tcPr>
          <w:p>
            <w:pPr>
              <w:spacing w:after="0" w:line="240" w:lineRule="auto"/>
              <w:jc w:val="center"/>
            </w:pPr>
            <w:r/>
            <w:r>
              <w:rPr>
                <w:b w:val="0"/>
                <w:sz w:val="15"/>
              </w:rPr>
              <w:t>2026-10-08</w:t>
            </w:r>
          </w:p>
        </w:tc>
        <w:tc>
          <w:tcPr>
            <w:tcW w:type="dxa" w:w="7056"/>
          </w:tcPr>
          <w:p>
            <w:pPr>
              <w:spacing w:after="0" w:line="240" w:lineRule="auto"/>
              <w:jc w:val="center"/>
            </w:pPr>
            <w:r/>
            <w:r>
              <w:rPr>
                <w:b w:val="0"/>
                <w:sz w:val="15"/>
              </w:rPr>
              <w:t>add age and care-unit filters, domain decomposition (all prespecified in the protocol; primary results already generated at 3002996)</w:t>
            </w:r>
          </w:p>
        </w:tc>
      </w:tr>
      <w:tr>
        <w:trPr>
          <w:cantSplit w:val="true"/>
        </w:trPr>
        <w:tc>
          <w:tcPr>
            <w:tcW w:type="dxa" w:w="1152"/>
          </w:tcPr>
          <w:p>
            <w:pPr>
              <w:spacing w:after="0" w:line="240" w:lineRule="auto"/>
            </w:pPr>
            <w:r/>
            <w:r>
              <w:rPr>
                <w:b w:val="0"/>
                <w:sz w:val="15"/>
              </w:rPr>
              <w:t>c1f02e2</w:t>
            </w:r>
          </w:p>
        </w:tc>
        <w:tc>
          <w:tcPr>
            <w:tcW w:type="dxa" w:w="1296"/>
          </w:tcPr>
          <w:p>
            <w:pPr>
              <w:spacing w:after="0" w:line="240" w:lineRule="auto"/>
              <w:jc w:val="center"/>
            </w:pPr>
            <w:r/>
            <w:r>
              <w:rPr>
                <w:b w:val="0"/>
                <w:sz w:val="15"/>
              </w:rPr>
              <w:t>2026-10-08</w:t>
            </w:r>
          </w:p>
        </w:tc>
        <w:tc>
          <w:tcPr>
            <w:tcW w:type="dxa" w:w="7056"/>
          </w:tcPr>
          <w:p>
            <w:pPr>
              <w:spacing w:after="0" w:line="240" w:lineRule="auto"/>
              <w:jc w:val="center"/>
            </w:pPr>
            <w:r/>
            <w:r>
              <w:rPr>
                <w:b w:val="0"/>
                <w:sz w:val="15"/>
              </w:rPr>
              <w:t>add age and care-unit filters, domain decomposition (all prespecified in the protocol; primary results already generated at 3002996)</w:t>
            </w:r>
          </w:p>
        </w:tc>
      </w:tr>
      <w:tr>
        <w:trPr>
          <w:cantSplit w:val="true"/>
        </w:trPr>
        <w:tc>
          <w:tcPr>
            <w:tcW w:type="dxa" w:w="1152"/>
          </w:tcPr>
          <w:p>
            <w:pPr>
              <w:spacing w:after="0" w:line="240" w:lineRule="auto"/>
            </w:pPr>
            <w:r/>
            <w:r>
              <w:rPr>
                <w:b w:val="0"/>
                <w:sz w:val="15"/>
              </w:rPr>
              <w:t>6cd34e0</w:t>
            </w:r>
          </w:p>
        </w:tc>
        <w:tc>
          <w:tcPr>
            <w:tcW w:type="dxa" w:w="1296"/>
          </w:tcPr>
          <w:p>
            <w:pPr>
              <w:spacing w:after="0" w:line="240" w:lineRule="auto"/>
              <w:jc w:val="center"/>
            </w:pPr>
            <w:r/>
            <w:r>
              <w:rPr>
                <w:b w:val="0"/>
                <w:sz w:val="15"/>
              </w:rPr>
              <w:t>2026-10-08</w:t>
            </w:r>
          </w:p>
        </w:tc>
        <w:tc>
          <w:tcPr>
            <w:tcW w:type="dxa" w:w="7056"/>
          </w:tcPr>
          <w:p>
            <w:pPr>
              <w:spacing w:after="0" w:line="240" w:lineRule="auto"/>
              <w:jc w:val="center"/>
            </w:pPr>
            <w:r/>
            <w:r>
              <w:rPr>
                <w:b w:val="0"/>
                <w:sz w:val="15"/>
              </w:rPr>
              <w:t>post hoc: separate SpO2/FiO2 fallback from respiratory thresholds in domain decomposition</w:t>
            </w:r>
          </w:p>
        </w:tc>
      </w:tr>
      <w:tr>
        <w:trPr>
          <w:cantSplit w:val="true"/>
        </w:trPr>
        <w:tc>
          <w:tcPr>
            <w:tcW w:type="dxa" w:w="1152"/>
          </w:tcPr>
          <w:p>
            <w:pPr>
              <w:spacing w:after="0" w:line="240" w:lineRule="auto"/>
            </w:pPr>
            <w:r/>
            <w:r>
              <w:rPr>
                <w:b w:val="0"/>
                <w:sz w:val="15"/>
              </w:rPr>
              <w:t>e81c720</w:t>
            </w:r>
          </w:p>
        </w:tc>
        <w:tc>
          <w:tcPr>
            <w:tcW w:type="dxa" w:w="1296"/>
          </w:tcPr>
          <w:p>
            <w:pPr>
              <w:spacing w:after="0" w:line="240" w:lineRule="auto"/>
              <w:jc w:val="center"/>
            </w:pPr>
            <w:r/>
            <w:r>
              <w:rPr>
                <w:b w:val="0"/>
                <w:sz w:val="15"/>
              </w:rPr>
              <w:t>2026-10-08</w:t>
            </w:r>
          </w:p>
        </w:tc>
        <w:tc>
          <w:tcPr>
            <w:tcW w:type="dxa" w:w="7056"/>
          </w:tcPr>
          <w:p>
            <w:pPr>
              <w:spacing w:after="0" w:line="240" w:lineRule="auto"/>
              <w:jc w:val="center"/>
            </w:pPr>
            <w:r/>
            <w:r>
              <w:rPr>
                <w:b w:val="0"/>
                <w:sz w:val="15"/>
              </w:rPr>
              <w:t>add paired SpO2 vs PaO2 respiratory scoring analysis by group (prespecified exploratory, outcome-blind)</w:t>
            </w:r>
          </w:p>
        </w:tc>
      </w:tr>
      <w:tr>
        <w:trPr>
          <w:cantSplit w:val="true"/>
        </w:trPr>
        <w:tc>
          <w:tcPr>
            <w:tcW w:type="dxa" w:w="1152"/>
          </w:tcPr>
          <w:p>
            <w:pPr>
              <w:spacing w:after="0" w:line="240" w:lineRule="auto"/>
            </w:pPr>
            <w:r/>
            <w:r>
              <w:rPr>
                <w:b w:val="0"/>
                <w:sz w:val="15"/>
              </w:rPr>
              <w:t>298a17c</w:t>
            </w:r>
          </w:p>
        </w:tc>
        <w:tc>
          <w:tcPr>
            <w:tcW w:type="dxa" w:w="1296"/>
          </w:tcPr>
          <w:p>
            <w:pPr>
              <w:spacing w:after="0" w:line="240" w:lineRule="auto"/>
              <w:jc w:val="center"/>
            </w:pPr>
            <w:r/>
            <w:r>
              <w:rPr>
                <w:b w:val="0"/>
                <w:sz w:val="15"/>
              </w:rPr>
              <w:t>2026-10-17</w:t>
            </w:r>
          </w:p>
        </w:tc>
        <w:tc>
          <w:tcPr>
            <w:tcW w:type="dxa" w:w="7056"/>
          </w:tcPr>
          <w:p>
            <w:pPr>
              <w:spacing w:after="0" w:line="240" w:lineRule="auto"/>
              <w:jc w:val="center"/>
            </w:pPr>
            <w:r/>
            <w:r>
              <w:rPr>
                <w:b w:val="0"/>
                <w:sz w:val="15"/>
              </w:rPr>
              <w:t>protocol amendment 2: headline comparator, analyses not performed, superseded file references</w:t>
            </w:r>
          </w:p>
        </w:tc>
      </w:tr>
    </w:tbl>
    <w:p>
      <w:pPr>
        <w:spacing w:after="40"/>
      </w:pPr>
    </w:p>
    <w:p>
      <w:pPr>
        <w:keepNext/>
        <w:spacing w:after="60"/>
      </w:pPr>
      <w:r>
        <w:rPr>
          <w:b/>
          <w:sz w:val="19"/>
        </w:rPr>
        <w:t xml:space="preserve">Supplementary Table S8. </w:t>
      </w:r>
      <w:r>
        <w:rPr>
          <w:sz w:val="19"/>
        </w:rPr>
        <w:t>Analysis runs with their recorded settings (from the manifest written by each run). The domain-decomposition and SpO2 analyses write no manifest and used the code default of 2,000 replicates with seed 20251007.</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cantSplit w:val="true"/>
        </w:trPr>
        <w:tc>
          <w:tcPr>
            <w:tcW w:type="dxa" w:w="4320"/>
            <w:shd w:val="clear" w:color="auto" w:fill="D9E2F3"/>
          </w:tcPr>
          <w:p>
            <w:pPr>
              <w:spacing w:after="0" w:line="240" w:lineRule="auto"/>
            </w:pPr>
            <w:r/>
            <w:r>
              <w:rPr>
                <w:b/>
                <w:sz w:val="14"/>
              </w:rPr>
              <w:t>Run</w:t>
            </w:r>
          </w:p>
        </w:tc>
        <w:tc>
          <w:tcPr>
            <w:tcW w:type="dxa" w:w="1440"/>
            <w:shd w:val="clear" w:color="auto" w:fill="D9E2F3"/>
          </w:tcPr>
          <w:p>
            <w:pPr>
              <w:spacing w:after="0" w:line="240" w:lineRule="auto"/>
              <w:jc w:val="center"/>
            </w:pPr>
            <w:r/>
            <w:r>
              <w:rPr>
                <w:b/>
                <w:sz w:val="14"/>
              </w:rPr>
              <w:t>Outcome</w:t>
            </w:r>
          </w:p>
        </w:tc>
        <w:tc>
          <w:tcPr>
            <w:tcW w:type="dxa" w:w="864"/>
            <w:shd w:val="clear" w:color="auto" w:fill="D9E2F3"/>
          </w:tcPr>
          <w:p>
            <w:pPr>
              <w:spacing w:after="0" w:line="240" w:lineRule="auto"/>
              <w:jc w:val="center"/>
            </w:pPr>
            <w:r/>
            <w:r>
              <w:rPr>
                <w:b/>
                <w:sz w:val="14"/>
              </w:rPr>
              <w:t>Window</w:t>
            </w:r>
          </w:p>
        </w:tc>
        <w:tc>
          <w:tcPr>
            <w:tcW w:type="dxa" w:w="1008"/>
            <w:shd w:val="clear" w:color="auto" w:fill="D9E2F3"/>
          </w:tcPr>
          <w:p>
            <w:pPr>
              <w:spacing w:after="0" w:line="240" w:lineRule="auto"/>
              <w:jc w:val="center"/>
            </w:pPr>
            <w:r/>
            <w:r>
              <w:rPr>
                <w:b/>
                <w:sz w:val="14"/>
              </w:rPr>
              <w:t>Replicates</w:t>
            </w:r>
          </w:p>
        </w:tc>
        <w:tc>
          <w:tcPr>
            <w:tcW w:type="dxa" w:w="1152"/>
            <w:shd w:val="clear" w:color="auto" w:fill="D9E2F3"/>
          </w:tcPr>
          <w:p>
            <w:pPr>
              <w:spacing w:after="0" w:line="240" w:lineRule="auto"/>
              <w:jc w:val="center"/>
            </w:pPr>
            <w:r/>
            <w:r>
              <w:rPr>
                <w:b/>
                <w:sz w:val="14"/>
              </w:rPr>
              <w:t>Seed</w:t>
            </w:r>
          </w:p>
        </w:tc>
        <w:tc>
          <w:tcPr>
            <w:tcW w:type="dxa" w:w="864"/>
            <w:shd w:val="clear" w:color="auto" w:fill="D9E2F3"/>
          </w:tcPr>
          <w:p>
            <w:pPr>
              <w:spacing w:after="0" w:line="240" w:lineRule="auto"/>
              <w:jc w:val="center"/>
            </w:pPr>
            <w:r/>
            <w:r>
              <w:rPr>
                <w:b/>
                <w:sz w:val="14"/>
              </w:rPr>
              <w:t>Commit</w:t>
            </w:r>
          </w:p>
        </w:tc>
        <w:tc>
          <w:tcPr>
            <w:tcW w:type="dxa" w:w="864"/>
            <w:shd w:val="clear" w:color="auto" w:fill="D9E2F3"/>
          </w:tcPr>
          <w:p>
            <w:pPr>
              <w:spacing w:after="0" w:line="240" w:lineRule="auto"/>
              <w:jc w:val="center"/>
            </w:pPr>
            <w:r/>
            <w:r>
              <w:rPr>
                <w:b/>
                <w:sz w:val="14"/>
              </w:rPr>
              <w:t>Stays</w:t>
            </w:r>
          </w:p>
        </w:tc>
      </w:tr>
      <w:tr>
        <w:trPr>
          <w:cantSplit w:val="true"/>
        </w:trPr>
        <w:tc>
          <w:tcPr>
            <w:tcW w:type="dxa" w:w="4320"/>
          </w:tcPr>
          <w:p>
            <w:pPr>
              <w:spacing w:after="0" w:line="240" w:lineRule="auto"/>
            </w:pPr>
            <w:r/>
            <w:r>
              <w:rPr>
                <w:b w:val="0"/>
                <w:sz w:val="14"/>
              </w:rPr>
              <w:t>analysis_hospital_death_lookback6</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lookback6</w:t>
            </w:r>
          </w:p>
        </w:tc>
        <w:tc>
          <w:tcPr>
            <w:tcW w:type="dxa" w:w="1008"/>
          </w:tcPr>
          <w:p>
            <w:pPr>
              <w:spacing w:after="0" w:line="240" w:lineRule="auto"/>
              <w:jc w:val="center"/>
            </w:pPr>
            <w:r/>
            <w:r>
              <w:rPr>
                <w:b w:val="0"/>
                <w:sz w:val="14"/>
              </w:rPr>
              <w:t>5000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3002996</w:t>
            </w:r>
          </w:p>
        </w:tc>
        <w:tc>
          <w:tcPr>
            <w:tcW w:type="dxa" w:w="864"/>
          </w:tcPr>
          <w:p>
            <w:pPr>
              <w:spacing w:after="0" w:line="240" w:lineRule="auto"/>
              <w:jc w:val="center"/>
            </w:pPr>
            <w:r/>
            <w:r>
              <w:rPr>
                <w:b w:val="0"/>
                <w:sz w:val="14"/>
              </w:rPr>
              <w:t>85,228</w:t>
            </w:r>
          </w:p>
        </w:tc>
      </w:tr>
      <w:tr>
        <w:trPr>
          <w:cantSplit w:val="true"/>
        </w:trPr>
        <w:tc>
          <w:tcPr>
            <w:tcW w:type="dxa" w:w="4320"/>
          </w:tcPr>
          <w:p>
            <w:pPr>
              <w:spacing w:after="0" w:line="240" w:lineRule="auto"/>
            </w:pPr>
            <w:r/>
            <w:r>
              <w:rPr>
                <w:b w:val="0"/>
                <w:sz w:val="14"/>
              </w:rPr>
              <w:t>analysis_hospital_death_strict</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5000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3002996</w:t>
            </w:r>
          </w:p>
        </w:tc>
        <w:tc>
          <w:tcPr>
            <w:tcW w:type="dxa" w:w="864"/>
          </w:tcPr>
          <w:p>
            <w:pPr>
              <w:spacing w:after="0" w:line="240" w:lineRule="auto"/>
              <w:jc w:val="center"/>
            </w:pPr>
            <w:r/>
            <w:r>
              <w:rPr>
                <w:b w:val="0"/>
                <w:sz w:val="14"/>
              </w:rPr>
              <w:t>85,228</w:t>
            </w:r>
          </w:p>
        </w:tc>
      </w:tr>
      <w:tr>
        <w:trPr>
          <w:cantSplit w:val="true"/>
        </w:trPr>
        <w:tc>
          <w:tcPr>
            <w:tcW w:type="dxa" w:w="4320"/>
          </w:tcPr>
          <w:p>
            <w:pPr>
              <w:spacing w:after="0" w:line="240" w:lineRule="auto"/>
            </w:pPr>
            <w:r/>
            <w:r>
              <w:rPr>
                <w:b w:val="0"/>
                <w:sz w:val="14"/>
              </w:rPr>
              <w:t>analysis_hospital_death_strict_age-lt65</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5000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c1f02e2</w:t>
            </w:r>
          </w:p>
        </w:tc>
        <w:tc>
          <w:tcPr>
            <w:tcW w:type="dxa" w:w="864"/>
          </w:tcPr>
          <w:p>
            <w:pPr>
              <w:spacing w:after="0" w:line="240" w:lineRule="auto"/>
              <w:jc w:val="center"/>
            </w:pPr>
            <w:r/>
            <w:r>
              <w:rPr>
                <w:b w:val="0"/>
                <w:sz w:val="14"/>
              </w:rPr>
              <w:t>38,662</w:t>
            </w:r>
          </w:p>
        </w:tc>
      </w:tr>
      <w:tr>
        <w:trPr>
          <w:cantSplit w:val="true"/>
        </w:trPr>
        <w:tc>
          <w:tcPr>
            <w:tcW w:type="dxa" w:w="4320"/>
          </w:tcPr>
          <w:p>
            <w:pPr>
              <w:spacing w:after="0" w:line="240" w:lineRule="auto"/>
            </w:pPr>
            <w:r/>
            <w:r>
              <w:rPr>
                <w:b w:val="0"/>
                <w:sz w:val="14"/>
              </w:rPr>
              <w:t>analysis_hospital_death_strict_cc</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5000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3002996</w:t>
            </w:r>
          </w:p>
        </w:tc>
        <w:tc>
          <w:tcPr>
            <w:tcW w:type="dxa" w:w="864"/>
          </w:tcPr>
          <w:p>
            <w:pPr>
              <w:spacing w:after="0" w:line="240" w:lineRule="auto"/>
              <w:jc w:val="center"/>
            </w:pPr>
            <w:r/>
            <w:r>
              <w:rPr>
                <w:b w:val="0"/>
                <w:sz w:val="14"/>
              </w:rPr>
              <w:t>11,488</w:t>
            </w:r>
          </w:p>
        </w:tc>
      </w:tr>
      <w:tr>
        <w:trPr>
          <w:cantSplit w:val="true"/>
        </w:trPr>
        <w:tc>
          <w:tcPr>
            <w:tcW w:type="dxa" w:w="4320"/>
          </w:tcPr>
          <w:p>
            <w:pPr>
              <w:spacing w:after="0" w:line="240" w:lineRule="auto"/>
            </w:pPr>
            <w:r/>
            <w:r>
              <w:rPr>
                <w:b w:val="0"/>
                <w:sz w:val="14"/>
              </w:rPr>
              <w:t>analysis_hospital_death_strict_cu-CCU</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5000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c1f02e2</w:t>
            </w:r>
          </w:p>
        </w:tc>
        <w:tc>
          <w:tcPr>
            <w:tcW w:type="dxa" w:w="864"/>
          </w:tcPr>
          <w:p>
            <w:pPr>
              <w:spacing w:after="0" w:line="240" w:lineRule="auto"/>
              <w:jc w:val="center"/>
            </w:pPr>
            <w:r/>
            <w:r>
              <w:rPr>
                <w:b w:val="0"/>
                <w:sz w:val="14"/>
              </w:rPr>
              <w:t>9,804</w:t>
            </w:r>
          </w:p>
        </w:tc>
      </w:tr>
      <w:tr>
        <w:trPr>
          <w:cantSplit w:val="true"/>
        </w:trPr>
        <w:tc>
          <w:tcPr>
            <w:tcW w:type="dxa" w:w="4320"/>
          </w:tcPr>
          <w:p>
            <w:pPr>
              <w:spacing w:after="0" w:line="240" w:lineRule="auto"/>
            </w:pPr>
            <w:r/>
            <w:r>
              <w:rPr>
                <w:b w:val="0"/>
                <w:sz w:val="14"/>
              </w:rPr>
              <w:t>analysis_hospital_death_strict_cu-CVICU</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5000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c1f02e2</w:t>
            </w:r>
          </w:p>
        </w:tc>
        <w:tc>
          <w:tcPr>
            <w:tcW w:type="dxa" w:w="864"/>
          </w:tcPr>
          <w:p>
            <w:pPr>
              <w:spacing w:after="0" w:line="240" w:lineRule="auto"/>
              <w:jc w:val="center"/>
            </w:pPr>
            <w:r/>
            <w:r>
              <w:rPr>
                <w:b w:val="0"/>
                <w:sz w:val="14"/>
              </w:rPr>
              <w:t>13,199</w:t>
            </w:r>
          </w:p>
        </w:tc>
      </w:tr>
      <w:tr>
        <w:trPr>
          <w:cantSplit w:val="true"/>
        </w:trPr>
        <w:tc>
          <w:tcPr>
            <w:tcW w:type="dxa" w:w="4320"/>
          </w:tcPr>
          <w:p>
            <w:pPr>
              <w:spacing w:after="0" w:line="240" w:lineRule="auto"/>
            </w:pPr>
            <w:r/>
            <w:r>
              <w:rPr>
                <w:b w:val="0"/>
                <w:sz w:val="14"/>
              </w:rPr>
              <w:t>analysis_hospital_death_strict_cu-MICU</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5000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c1f02e2</w:t>
            </w:r>
          </w:p>
        </w:tc>
        <w:tc>
          <w:tcPr>
            <w:tcW w:type="dxa" w:w="864"/>
          </w:tcPr>
          <w:p>
            <w:pPr>
              <w:spacing w:after="0" w:line="240" w:lineRule="auto"/>
              <w:jc w:val="center"/>
            </w:pPr>
            <w:r/>
            <w:r>
              <w:rPr>
                <w:b w:val="0"/>
                <w:sz w:val="14"/>
              </w:rPr>
              <w:t>18,657</w:t>
            </w:r>
          </w:p>
        </w:tc>
      </w:tr>
      <w:tr>
        <w:trPr>
          <w:cantSplit w:val="true"/>
        </w:trPr>
        <w:tc>
          <w:tcPr>
            <w:tcW w:type="dxa" w:w="4320"/>
          </w:tcPr>
          <w:p>
            <w:pPr>
              <w:spacing w:after="0" w:line="240" w:lineRule="auto"/>
            </w:pPr>
            <w:r/>
            <w:r>
              <w:rPr>
                <w:b w:val="0"/>
                <w:sz w:val="14"/>
              </w:rPr>
              <w:t>analysis_hospital_death_strict_cu-MICUSICU</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5000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c1f02e2</w:t>
            </w:r>
          </w:p>
        </w:tc>
        <w:tc>
          <w:tcPr>
            <w:tcW w:type="dxa" w:w="864"/>
          </w:tcPr>
          <w:p>
            <w:pPr>
              <w:spacing w:after="0" w:line="240" w:lineRule="auto"/>
              <w:jc w:val="center"/>
            </w:pPr>
            <w:r/>
            <w:r>
              <w:rPr>
                <w:b w:val="0"/>
                <w:sz w:val="14"/>
              </w:rPr>
              <w:t>14,087</w:t>
            </w:r>
          </w:p>
        </w:tc>
      </w:tr>
      <w:tr>
        <w:trPr>
          <w:cantSplit w:val="true"/>
        </w:trPr>
        <w:tc>
          <w:tcPr>
            <w:tcW w:type="dxa" w:w="4320"/>
          </w:tcPr>
          <w:p>
            <w:pPr>
              <w:spacing w:after="0" w:line="240" w:lineRule="auto"/>
            </w:pPr>
            <w:r/>
            <w:r>
              <w:rPr>
                <w:b w:val="0"/>
                <w:sz w:val="14"/>
              </w:rPr>
              <w:t>analysis_hospital_death_strict_cu-SICU</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5000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c1f02e2</w:t>
            </w:r>
          </w:p>
        </w:tc>
        <w:tc>
          <w:tcPr>
            <w:tcW w:type="dxa" w:w="864"/>
          </w:tcPr>
          <w:p>
            <w:pPr>
              <w:spacing w:after="0" w:line="240" w:lineRule="auto"/>
              <w:jc w:val="center"/>
            </w:pPr>
            <w:r/>
            <w:r>
              <w:rPr>
                <w:b w:val="0"/>
                <w:sz w:val="14"/>
              </w:rPr>
              <w:t>11,561</w:t>
            </w:r>
          </w:p>
        </w:tc>
      </w:tr>
      <w:tr>
        <w:trPr>
          <w:cantSplit w:val="true"/>
        </w:trPr>
        <w:tc>
          <w:tcPr>
            <w:tcW w:type="dxa" w:w="4320"/>
          </w:tcPr>
          <w:p>
            <w:pPr>
              <w:spacing w:after="0" w:line="240" w:lineRule="auto"/>
            </w:pPr>
            <w:r/>
            <w:r>
              <w:rPr>
                <w:b w:val="0"/>
                <w:sz w:val="14"/>
              </w:rPr>
              <w:t>analysis_hospital_death_strict_cu-TSICU</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5000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c1f02e2</w:t>
            </w:r>
          </w:p>
        </w:tc>
        <w:tc>
          <w:tcPr>
            <w:tcW w:type="dxa" w:w="864"/>
          </w:tcPr>
          <w:p>
            <w:pPr>
              <w:spacing w:after="0" w:line="240" w:lineRule="auto"/>
              <w:jc w:val="center"/>
            </w:pPr>
            <w:r/>
            <w:r>
              <w:rPr>
                <w:b w:val="0"/>
                <w:sz w:val="14"/>
              </w:rPr>
              <w:t>9,306</w:t>
            </w:r>
          </w:p>
        </w:tc>
      </w:tr>
      <w:tr>
        <w:trPr>
          <w:cantSplit w:val="true"/>
        </w:trPr>
        <w:tc>
          <w:tcPr>
            <w:tcW w:type="dxa" w:w="4320"/>
          </w:tcPr>
          <w:p>
            <w:pPr>
              <w:spacing w:after="0" w:line="240" w:lineRule="auto"/>
            </w:pPr>
            <w:r/>
            <w:r>
              <w:rPr>
                <w:b w:val="0"/>
                <w:sz w:val="14"/>
              </w:rPr>
              <w:t>analysis_hospital_death_strict_s2-strict</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5000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3002996</w:t>
            </w:r>
          </w:p>
        </w:tc>
        <w:tc>
          <w:tcPr>
            <w:tcW w:type="dxa" w:w="864"/>
          </w:tcPr>
          <w:p>
            <w:pPr>
              <w:spacing w:after="0" w:line="240" w:lineRule="auto"/>
              <w:jc w:val="center"/>
            </w:pPr>
            <w:r/>
            <w:r>
              <w:rPr>
                <w:b w:val="0"/>
                <w:sz w:val="14"/>
              </w:rPr>
              <w:t>85,228</w:t>
            </w:r>
          </w:p>
        </w:tc>
      </w:tr>
      <w:tr>
        <w:trPr>
          <w:cantSplit w:val="true"/>
        </w:trPr>
        <w:tc>
          <w:tcPr>
            <w:tcW w:type="dxa" w:w="4320"/>
          </w:tcPr>
          <w:p>
            <w:pPr>
              <w:spacing w:after="0" w:line="240" w:lineRule="auto"/>
            </w:pPr>
            <w:r/>
            <w:r>
              <w:rPr>
                <w:b w:val="0"/>
                <w:sz w:val="14"/>
              </w:rPr>
              <w:t>analysis_hospital_death_strict_s2-strict_sed_broad_ne_half</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5000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3002996</w:t>
            </w:r>
          </w:p>
        </w:tc>
        <w:tc>
          <w:tcPr>
            <w:tcW w:type="dxa" w:w="864"/>
          </w:tcPr>
          <w:p>
            <w:pPr>
              <w:spacing w:after="0" w:line="240" w:lineRule="auto"/>
              <w:jc w:val="center"/>
            </w:pPr>
            <w:r/>
            <w:r>
              <w:rPr>
                <w:b w:val="0"/>
                <w:sz w:val="14"/>
              </w:rPr>
              <w:t>85,228</w:t>
            </w:r>
          </w:p>
        </w:tc>
      </w:tr>
      <w:tr>
        <w:trPr>
          <w:cantSplit w:val="true"/>
        </w:trPr>
        <w:tc>
          <w:tcPr>
            <w:tcW w:type="dxa" w:w="4320"/>
          </w:tcPr>
          <w:p>
            <w:pPr>
              <w:spacing w:after="0" w:line="240" w:lineRule="auto"/>
            </w:pPr>
            <w:r/>
            <w:r>
              <w:rPr>
                <w:b w:val="0"/>
                <w:sz w:val="14"/>
              </w:rPr>
              <w:t>analysis_hospital_death_strict_sofa2_total_norrt_criteria</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5000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3002996</w:t>
            </w:r>
          </w:p>
        </w:tc>
        <w:tc>
          <w:tcPr>
            <w:tcW w:type="dxa" w:w="864"/>
          </w:tcPr>
          <w:p>
            <w:pPr>
              <w:spacing w:after="0" w:line="240" w:lineRule="auto"/>
              <w:jc w:val="center"/>
            </w:pPr>
            <w:r/>
            <w:r>
              <w:rPr>
                <w:b w:val="0"/>
                <w:sz w:val="14"/>
              </w:rPr>
              <w:t>85,228</w:t>
            </w:r>
          </w:p>
        </w:tc>
      </w:tr>
      <w:tr>
        <w:trPr>
          <w:cantSplit w:val="true"/>
        </w:trPr>
        <w:tc>
          <w:tcPr>
            <w:tcW w:type="dxa" w:w="4320"/>
          </w:tcPr>
          <w:p>
            <w:pPr>
              <w:spacing w:after="0" w:line="240" w:lineRule="auto"/>
            </w:pPr>
            <w:r/>
            <w:r>
              <w:rPr>
                <w:b w:val="0"/>
                <w:sz w:val="14"/>
              </w:rPr>
              <w:t>analysis_icu_death_strict_strict</w:t>
            </w:r>
          </w:p>
        </w:tc>
        <w:tc>
          <w:tcPr>
            <w:tcW w:type="dxa" w:w="1440"/>
          </w:tcPr>
          <w:p>
            <w:pPr>
              <w:spacing w:after="0" w:line="240" w:lineRule="auto"/>
              <w:jc w:val="center"/>
            </w:pPr>
            <w:r/>
            <w:r>
              <w:rPr>
                <w:b w:val="0"/>
                <w:sz w:val="14"/>
              </w:rPr>
              <w:t>icu_death_strict</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5000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3002996</w:t>
            </w:r>
          </w:p>
        </w:tc>
        <w:tc>
          <w:tcPr>
            <w:tcW w:type="dxa" w:w="864"/>
          </w:tcPr>
          <w:p>
            <w:pPr>
              <w:spacing w:after="0" w:line="240" w:lineRule="auto"/>
              <w:jc w:val="center"/>
            </w:pPr>
            <w:r/>
            <w:r>
              <w:rPr>
                <w:b w:val="0"/>
                <w:sz w:val="14"/>
              </w:rPr>
              <w:t>85,228</w:t>
            </w:r>
          </w:p>
        </w:tc>
      </w:tr>
      <w:tr>
        <w:trPr>
          <w:cantSplit w:val="true"/>
        </w:trPr>
        <w:tc>
          <w:tcPr>
            <w:tcW w:type="dxa" w:w="4320"/>
          </w:tcPr>
          <w:p>
            <w:pPr>
              <w:spacing w:after="0" w:line="240" w:lineRule="auto"/>
            </w:pPr>
            <w:r/>
            <w:r>
              <w:rPr>
                <w:b w:val="0"/>
                <w:sz w:val="14"/>
              </w:rPr>
              <w:t>calibration_hospital_death_strict</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2000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3002996</w:t>
            </w:r>
          </w:p>
        </w:tc>
        <w:tc>
          <w:tcPr>
            <w:tcW w:type="dxa" w:w="864"/>
          </w:tcPr>
          <w:p>
            <w:pPr>
              <w:spacing w:after="0" w:line="240" w:lineRule="auto"/>
              <w:jc w:val="center"/>
            </w:pPr>
            <w:r/>
            <w:r>
              <w:rPr>
                <w:b w:val="0"/>
                <w:sz w:val="14"/>
              </w:rPr>
              <w:t>85,228</w:t>
            </w:r>
          </w:p>
        </w:tc>
      </w:tr>
      <w:tr>
        <w:trPr>
          <w:cantSplit w:val="true"/>
        </w:trPr>
        <w:tc>
          <w:tcPr>
            <w:tcW w:type="dxa" w:w="4320"/>
          </w:tcPr>
          <w:p>
            <w:pPr>
              <w:spacing w:after="0" w:line="240" w:lineRule="auto"/>
            </w:pPr>
            <w:r/>
            <w:r>
              <w:rPr>
                <w:b w:val="0"/>
                <w:sz w:val="14"/>
              </w:rPr>
              <w:t>calibration_hospital_death_strict_age-lt65</w:t>
            </w:r>
          </w:p>
        </w:tc>
        <w:tc>
          <w:tcPr>
            <w:tcW w:type="dxa" w:w="1440"/>
          </w:tcPr>
          <w:p>
            <w:pPr>
              <w:spacing w:after="0" w:line="240" w:lineRule="auto"/>
              <w:jc w:val="center"/>
            </w:pPr>
            <w:r/>
            <w:r>
              <w:rPr>
                <w:b w:val="0"/>
                <w:sz w:val="14"/>
              </w:rPr>
              <w:t>hospital_death</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2000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c1f02e2</w:t>
            </w:r>
          </w:p>
        </w:tc>
        <w:tc>
          <w:tcPr>
            <w:tcW w:type="dxa" w:w="864"/>
          </w:tcPr>
          <w:p>
            <w:pPr>
              <w:spacing w:after="0" w:line="240" w:lineRule="auto"/>
              <w:jc w:val="center"/>
            </w:pPr>
            <w:r/>
            <w:r>
              <w:rPr>
                <w:b w:val="0"/>
                <w:sz w:val="14"/>
              </w:rPr>
              <w:t>38,662</w:t>
            </w:r>
          </w:p>
        </w:tc>
      </w:tr>
      <w:tr>
        <w:trPr>
          <w:cantSplit w:val="true"/>
        </w:trPr>
        <w:tc>
          <w:tcPr>
            <w:tcW w:type="dxa" w:w="4320"/>
          </w:tcPr>
          <w:p>
            <w:pPr>
              <w:spacing w:after="0" w:line="240" w:lineRule="auto"/>
            </w:pPr>
            <w:r/>
            <w:r>
              <w:rPr>
                <w:b w:val="0"/>
                <w:sz w:val="14"/>
              </w:rPr>
              <w:t>calibration_icu_death_strict_strict</w:t>
            </w:r>
          </w:p>
        </w:tc>
        <w:tc>
          <w:tcPr>
            <w:tcW w:type="dxa" w:w="1440"/>
          </w:tcPr>
          <w:p>
            <w:pPr>
              <w:spacing w:after="0" w:line="240" w:lineRule="auto"/>
              <w:jc w:val="center"/>
            </w:pPr>
            <w:r/>
            <w:r>
              <w:rPr>
                <w:b w:val="0"/>
                <w:sz w:val="14"/>
              </w:rPr>
              <w:t>icu_death_strict</w:t>
            </w:r>
          </w:p>
        </w:tc>
        <w:tc>
          <w:tcPr>
            <w:tcW w:type="dxa" w:w="864"/>
          </w:tcPr>
          <w:p>
            <w:pPr>
              <w:spacing w:after="0" w:line="240" w:lineRule="auto"/>
              <w:jc w:val="center"/>
            </w:pPr>
            <w:r/>
            <w:r>
              <w:rPr>
                <w:b w:val="0"/>
                <w:sz w:val="14"/>
              </w:rPr>
              <w:t>strict</w:t>
            </w:r>
          </w:p>
        </w:tc>
        <w:tc>
          <w:tcPr>
            <w:tcW w:type="dxa" w:w="1008"/>
          </w:tcPr>
          <w:p>
            <w:pPr>
              <w:spacing w:after="0" w:line="240" w:lineRule="auto"/>
              <w:jc w:val="center"/>
            </w:pPr>
            <w:r/>
            <w:r>
              <w:rPr>
                <w:b w:val="0"/>
                <w:sz w:val="14"/>
              </w:rPr>
              <w:t>2000</w:t>
            </w:r>
          </w:p>
        </w:tc>
        <w:tc>
          <w:tcPr>
            <w:tcW w:type="dxa" w:w="1152"/>
          </w:tcPr>
          <w:p>
            <w:pPr>
              <w:spacing w:after="0" w:line="240" w:lineRule="auto"/>
              <w:jc w:val="center"/>
            </w:pPr>
            <w:r/>
            <w:r>
              <w:rPr>
                <w:b w:val="0"/>
                <w:sz w:val="14"/>
              </w:rPr>
              <w:t>20251007</w:t>
            </w:r>
          </w:p>
        </w:tc>
        <w:tc>
          <w:tcPr>
            <w:tcW w:type="dxa" w:w="864"/>
          </w:tcPr>
          <w:p>
            <w:pPr>
              <w:spacing w:after="0" w:line="240" w:lineRule="auto"/>
              <w:jc w:val="center"/>
            </w:pPr>
            <w:r/>
            <w:r>
              <w:rPr>
                <w:b w:val="0"/>
                <w:sz w:val="14"/>
              </w:rPr>
              <w:t>3002996</w:t>
            </w:r>
          </w:p>
        </w:tc>
        <w:tc>
          <w:tcPr>
            <w:tcW w:type="dxa" w:w="864"/>
          </w:tcPr>
          <w:p>
            <w:pPr>
              <w:spacing w:after="0" w:line="240" w:lineRule="auto"/>
              <w:jc w:val="center"/>
            </w:pPr>
            <w:r/>
            <w:r>
              <w:rPr>
                <w:b w:val="0"/>
                <w:sz w:val="14"/>
              </w:rPr>
              <w:t>85,228</w:t>
            </w:r>
          </w:p>
        </w:tc>
      </w:tr>
      <w:tr>
        <w:trPr>
          <w:cantSplit w:val="true"/>
        </w:trPr>
        <w:tc>
          <w:tcPr>
            <w:tcW w:type="dxa" w:w="4320"/>
          </w:tcPr>
          <w:p>
            <w:pPr>
              <w:spacing w:after="0" w:line="240" w:lineRule="auto"/>
            </w:pPr>
            <w:r/>
            <w:r>
              <w:rPr>
                <w:b w:val="0"/>
                <w:sz w:val="14"/>
              </w:rPr>
              <w:t>extract</w:t>
            </w:r>
          </w:p>
        </w:tc>
        <w:tc>
          <w:tcPr>
            <w:tcW w:type="dxa" w:w="1440"/>
          </w:tcPr>
          <w:p>
            <w:pPr>
              <w:spacing w:after="0" w:line="240" w:lineRule="auto"/>
              <w:jc w:val="center"/>
            </w:pPr>
            <w:r/>
            <w:r>
              <w:rPr>
                <w:b w:val="0"/>
                <w:sz w:val="14"/>
              </w:rPr>
            </w:r>
          </w:p>
        </w:tc>
        <w:tc>
          <w:tcPr>
            <w:tcW w:type="dxa" w:w="864"/>
          </w:tcPr>
          <w:p>
            <w:pPr>
              <w:spacing w:after="0" w:line="240" w:lineRule="auto"/>
              <w:jc w:val="center"/>
            </w:pPr>
            <w:r/>
            <w:r>
              <w:rPr>
                <w:b w:val="0"/>
                <w:sz w:val="14"/>
              </w:rPr>
            </w:r>
          </w:p>
        </w:tc>
        <w:tc>
          <w:tcPr>
            <w:tcW w:type="dxa" w:w="1008"/>
          </w:tcPr>
          <w:p>
            <w:pPr>
              <w:spacing w:after="0" w:line="240" w:lineRule="auto"/>
              <w:jc w:val="center"/>
            </w:pPr>
            <w:r/>
            <w:r>
              <w:rPr>
                <w:b w:val="0"/>
                <w:sz w:val="14"/>
              </w:rPr>
            </w:r>
          </w:p>
        </w:tc>
        <w:tc>
          <w:tcPr>
            <w:tcW w:type="dxa" w:w="1152"/>
          </w:tcPr>
          <w:p>
            <w:pPr>
              <w:spacing w:after="0" w:line="240" w:lineRule="auto"/>
              <w:jc w:val="center"/>
            </w:pPr>
            <w:r/>
            <w:r>
              <w:rPr>
                <w:b w:val="0"/>
                <w:sz w:val="14"/>
              </w:rPr>
            </w:r>
          </w:p>
        </w:tc>
        <w:tc>
          <w:tcPr>
            <w:tcW w:type="dxa" w:w="864"/>
          </w:tcPr>
          <w:p>
            <w:pPr>
              <w:spacing w:after="0" w:line="240" w:lineRule="auto"/>
              <w:jc w:val="center"/>
            </w:pPr>
            <w:r/>
            <w:r>
              <w:rPr>
                <w:b w:val="0"/>
                <w:sz w:val="14"/>
              </w:rPr>
            </w:r>
          </w:p>
        </w:tc>
        <w:tc>
          <w:tcPr>
            <w:tcW w:type="dxa" w:w="864"/>
          </w:tcPr>
          <w:p>
            <w:pPr>
              <w:spacing w:after="0" w:line="240" w:lineRule="auto"/>
              <w:jc w:val="center"/>
            </w:pPr>
            <w:r/>
            <w:r>
              <w:rPr>
                <w:b w:val="0"/>
                <w:sz w:val="14"/>
              </w:rPr>
              <w:t>0</w:t>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