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3EE" w:rsidRPr="003E03EE" w:rsidRDefault="003E03EE" w:rsidP="003E03EE">
      <w:pPr>
        <w:shd w:val="clear" w:color="auto" w:fill="FFFFFF"/>
        <w:spacing w:after="0" w:line="260" w:lineRule="atLeast"/>
        <w:jc w:val="both"/>
        <w:rPr>
          <w:rFonts w:ascii="Times New Roman" w:eastAsia="Times New Roman" w:hAnsi="Times New Roman" w:cs="Times New Roman"/>
          <w:color w:val="505050"/>
          <w:sz w:val="28"/>
          <w:szCs w:val="28"/>
          <w:lang w:eastAsia="en-IN"/>
        </w:rPr>
      </w:pPr>
      <w:bookmarkStart w:id="0" w:name="top"/>
      <w:bookmarkEnd w:id="0"/>
      <w:r w:rsidRPr="00EE7661">
        <w:rPr>
          <w:rFonts w:ascii="Times New Roman" w:eastAsia="Times New Roman" w:hAnsi="Times New Roman" w:cs="Times New Roman"/>
          <w:b/>
          <w:color w:val="505050"/>
          <w:sz w:val="36"/>
          <w:szCs w:val="36"/>
          <w:lang w:eastAsia="en-IN"/>
        </w:rPr>
        <w:t>The </w:t>
      </w:r>
      <w:r w:rsidRPr="00EE7661">
        <w:rPr>
          <w:rFonts w:ascii="Times New Roman" w:eastAsia="Times New Roman" w:hAnsi="Times New Roman" w:cs="Times New Roman"/>
          <w:b/>
          <w:i/>
          <w:iCs/>
          <w:color w:val="505050"/>
          <w:sz w:val="36"/>
          <w:szCs w:val="36"/>
          <w:lang w:eastAsia="en-IN"/>
        </w:rPr>
        <w:t>Cartagena Protocol on Biosafety</w:t>
      </w:r>
      <w:r w:rsidRPr="003E03EE">
        <w:rPr>
          <w:rFonts w:ascii="Times New Roman" w:eastAsia="Times New Roman" w:hAnsi="Times New Roman" w:cs="Times New Roman"/>
          <w:i/>
          <w:iCs/>
          <w:color w:val="505050"/>
          <w:sz w:val="28"/>
          <w:szCs w:val="28"/>
          <w:lang w:eastAsia="en-IN"/>
        </w:rPr>
        <w:t xml:space="preserve"> to the Convention on Biological Diversity</w:t>
      </w:r>
      <w:r w:rsidRPr="003E03EE">
        <w:rPr>
          <w:rFonts w:ascii="Times New Roman" w:eastAsia="Times New Roman" w:hAnsi="Times New Roman" w:cs="Times New Roman"/>
          <w:color w:val="505050"/>
          <w:sz w:val="28"/>
          <w:szCs w:val="28"/>
          <w:lang w:eastAsia="en-IN"/>
        </w:rPr>
        <w:t> is an international treaty governing the movements of living modified organisms (LMOs) resulting from modern biotechnology from one country to another. It was adopted on 29 January 2000 as a supplementary agreement to the Convention on Biological Diversity and entered into force on 11 September 2003.</w:t>
      </w:r>
    </w:p>
    <w:tbl>
      <w:tblPr>
        <w:tblW w:w="9214" w:type="dxa"/>
        <w:tblInd w:w="-142" w:type="dxa"/>
        <w:shd w:val="clear" w:color="auto" w:fill="FFFFFF"/>
        <w:tblLayout w:type="fixed"/>
        <w:tblCellMar>
          <w:left w:w="0" w:type="dxa"/>
          <w:right w:w="0" w:type="dxa"/>
        </w:tblCellMar>
        <w:tblLook w:val="04A0" w:firstRow="1" w:lastRow="0" w:firstColumn="1" w:lastColumn="0" w:noHBand="0" w:noVBand="1"/>
      </w:tblPr>
      <w:tblGrid>
        <w:gridCol w:w="9214"/>
      </w:tblGrid>
      <w:tr w:rsidR="003E03EE" w:rsidRPr="003E03EE" w:rsidTr="00EE7661">
        <w:trPr>
          <w:trHeight w:val="5871"/>
        </w:trPr>
        <w:tc>
          <w:tcPr>
            <w:tcW w:w="9214" w:type="dxa"/>
            <w:shd w:val="clear" w:color="auto" w:fill="FFFFFF"/>
            <w:vAlign w:val="center"/>
            <w:hideMark/>
          </w:tcPr>
          <w:p w:rsidR="00712E40" w:rsidRPr="00EE7661" w:rsidRDefault="00712E40" w:rsidP="00712E40">
            <w:pPr>
              <w:pStyle w:val="Heading2"/>
              <w:shd w:val="clear" w:color="auto" w:fill="FFFFFF"/>
              <w:spacing w:before="300" w:beforeAutospacing="0" w:after="150" w:afterAutospacing="0" w:line="480" w:lineRule="atLeast"/>
              <w:jc w:val="both"/>
              <w:rPr>
                <w:color w:val="444444"/>
                <w:sz w:val="24"/>
                <w:szCs w:val="24"/>
              </w:rPr>
            </w:pPr>
            <w:bookmarkStart w:id="1" w:name="Sections"/>
            <w:bookmarkEnd w:id="1"/>
            <w:r w:rsidRPr="00EE7661">
              <w:rPr>
                <w:b w:val="0"/>
                <w:bCs w:val="0"/>
                <w:color w:val="444444"/>
                <w:sz w:val="24"/>
                <w:szCs w:val="24"/>
              </w:rPr>
              <w:t>Cartagena Protocol</w:t>
            </w:r>
          </w:p>
          <w:p w:rsidR="00712E40" w:rsidRPr="00EE7661" w:rsidRDefault="00712E40" w:rsidP="00712E40">
            <w:pPr>
              <w:pStyle w:val="NormalWeb"/>
              <w:shd w:val="clear" w:color="auto" w:fill="FFFFFF"/>
              <w:spacing w:before="0" w:beforeAutospacing="0" w:after="240" w:afterAutospacing="0" w:line="360" w:lineRule="atLeast"/>
              <w:jc w:val="both"/>
              <w:rPr>
                <w:color w:val="444444"/>
              </w:rPr>
            </w:pPr>
            <w:r w:rsidRPr="00EE7661">
              <w:rPr>
                <w:color w:val="444444"/>
              </w:rPr>
              <w:t>The full name of the treaty is </w:t>
            </w:r>
            <w:r w:rsidRPr="00EE7661">
              <w:rPr>
                <w:b/>
                <w:bCs/>
                <w:color w:val="444444"/>
              </w:rPr>
              <w:t>Cartagena Protocol on Biosafety to the </w:t>
            </w:r>
            <w:hyperlink r:id="rId6" w:history="1">
              <w:r w:rsidRPr="00EE7661">
                <w:rPr>
                  <w:rStyle w:val="Hyperlink"/>
                  <w:b/>
                  <w:bCs/>
                  <w:color w:val="8C69FF"/>
                  <w:u w:val="none"/>
                </w:rPr>
                <w:t>Convention on Biological Diversity</w:t>
              </w:r>
            </w:hyperlink>
            <w:r w:rsidRPr="00EE7661">
              <w:rPr>
                <w:color w:val="444444"/>
              </w:rPr>
              <w:t>.</w:t>
            </w:r>
          </w:p>
          <w:p w:rsidR="00712E40" w:rsidRPr="00EE7661" w:rsidRDefault="00712E40" w:rsidP="00712E40">
            <w:pPr>
              <w:numPr>
                <w:ilvl w:val="0"/>
                <w:numId w:val="7"/>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The international treaty concerns the movement of </w:t>
            </w:r>
            <w:r w:rsidRPr="00EE7661">
              <w:rPr>
                <w:rFonts w:ascii="Times New Roman" w:hAnsi="Times New Roman" w:cs="Times New Roman"/>
                <w:b/>
                <w:bCs/>
                <w:color w:val="444444"/>
                <w:sz w:val="24"/>
                <w:szCs w:val="24"/>
              </w:rPr>
              <w:t>LMOs (living modified organisms)</w:t>
            </w:r>
            <w:r w:rsidRPr="00EE7661">
              <w:rPr>
                <w:rFonts w:ascii="Times New Roman" w:hAnsi="Times New Roman" w:cs="Times New Roman"/>
                <w:color w:val="444444"/>
                <w:sz w:val="24"/>
                <w:szCs w:val="24"/>
              </w:rPr>
              <w:t> resulting from modern technology from one nation to another.</w:t>
            </w:r>
          </w:p>
          <w:p w:rsidR="00712E40" w:rsidRPr="00EE7661" w:rsidRDefault="00712E40" w:rsidP="00712E40">
            <w:pPr>
              <w:numPr>
                <w:ilvl w:val="1"/>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LMOs are defined under the protocol as living organisms that have a novel combination of genetic material secured from the use of modern technology.</w:t>
            </w:r>
          </w:p>
          <w:p w:rsidR="00712E40" w:rsidRPr="00EE7661" w:rsidRDefault="00712E40" w:rsidP="00712E40">
            <w:pPr>
              <w:numPr>
                <w:ilvl w:val="0"/>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It is a supplementary agreement to the CBD like the </w:t>
            </w:r>
            <w:hyperlink r:id="rId7" w:history="1">
              <w:r w:rsidRPr="00EE7661">
                <w:rPr>
                  <w:rStyle w:val="Hyperlink"/>
                  <w:rFonts w:ascii="Times New Roman" w:hAnsi="Times New Roman" w:cs="Times New Roman"/>
                  <w:color w:val="8C69FF"/>
                  <w:sz w:val="24"/>
                  <w:szCs w:val="24"/>
                  <w:u w:val="none"/>
                </w:rPr>
                <w:t>Nagoya Protocol</w:t>
              </w:r>
            </w:hyperlink>
            <w:r w:rsidRPr="00EE7661">
              <w:rPr>
                <w:rFonts w:ascii="Times New Roman" w:hAnsi="Times New Roman" w:cs="Times New Roman"/>
                <w:color w:val="444444"/>
                <w:sz w:val="24"/>
                <w:szCs w:val="24"/>
              </w:rPr>
              <w:t>.</w:t>
            </w:r>
          </w:p>
          <w:p w:rsidR="00712E40" w:rsidRPr="00EE7661" w:rsidRDefault="00712E40" w:rsidP="00712E40">
            <w:pPr>
              <w:numPr>
                <w:ilvl w:val="0"/>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The Protocol was adopted in 2000 and it came into force in 2003. The protocol was adopted in Montreal in 2000 but is named after Cartagena, the original city in Colombia where the protocol was supposed to be adopted. It was delayed due to some outstanding issues.</w:t>
            </w:r>
          </w:p>
          <w:p w:rsidR="00712E40" w:rsidRPr="00EE7661" w:rsidRDefault="00712E40" w:rsidP="00712E40">
            <w:pPr>
              <w:numPr>
                <w:ilvl w:val="0"/>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b/>
                <w:bCs/>
                <w:color w:val="444444"/>
                <w:sz w:val="24"/>
                <w:szCs w:val="24"/>
              </w:rPr>
              <w:t>The Cartagena Protocol on Biodiversity seeks to protect biodiversity from the potential risks caused by LMOs arising from modern technology.</w:t>
            </w:r>
          </w:p>
          <w:p w:rsidR="00712E40" w:rsidRPr="00EE7661" w:rsidRDefault="00712E40" w:rsidP="00712E40">
            <w:pPr>
              <w:numPr>
                <w:ilvl w:val="0"/>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The protocol was adopted because of the tremendous advancements in biotechnology and the associated concerns about its safety and usage with respect to biodiversity.</w:t>
            </w:r>
          </w:p>
          <w:p w:rsidR="00712E40" w:rsidRPr="00EE7661" w:rsidRDefault="00712E40" w:rsidP="00712E40">
            <w:pPr>
              <w:numPr>
                <w:ilvl w:val="0"/>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It seeks to implement an internationally harmonised regime for biosafety in order to ensure the safe utilisation of modern biotechnology.</w:t>
            </w:r>
          </w:p>
          <w:p w:rsidR="00712E40" w:rsidRPr="00EE7661" w:rsidRDefault="00712E40" w:rsidP="00712E40">
            <w:pPr>
              <w:numPr>
                <w:ilvl w:val="0"/>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The Protocol has provisions for an </w:t>
            </w:r>
            <w:r w:rsidRPr="00EE7661">
              <w:rPr>
                <w:rFonts w:ascii="Times New Roman" w:hAnsi="Times New Roman" w:cs="Times New Roman"/>
                <w:b/>
                <w:bCs/>
                <w:color w:val="444444"/>
                <w:sz w:val="24"/>
                <w:szCs w:val="24"/>
              </w:rPr>
              <w:t>Advance Informed Agreement (AIA)</w:t>
            </w:r>
            <w:r w:rsidRPr="00EE7661">
              <w:rPr>
                <w:rFonts w:ascii="Times New Roman" w:hAnsi="Times New Roman" w:cs="Times New Roman"/>
                <w:color w:val="444444"/>
                <w:sz w:val="24"/>
                <w:szCs w:val="24"/>
              </w:rPr>
              <w:t> procedure.</w:t>
            </w:r>
          </w:p>
          <w:p w:rsidR="00712E40" w:rsidRPr="00EE7661" w:rsidRDefault="00712E40" w:rsidP="00712E40">
            <w:pPr>
              <w:numPr>
                <w:ilvl w:val="1"/>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The AIA is for ensuring that countries are given enough information to make informed decisions before agreeing to import LMOs into their country.</w:t>
            </w:r>
          </w:p>
          <w:p w:rsidR="00712E40" w:rsidRPr="00EE7661" w:rsidRDefault="00712E40" w:rsidP="00712E40">
            <w:pPr>
              <w:numPr>
                <w:ilvl w:val="1"/>
                <w:numId w:val="8"/>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There are four components to the AIA:</w:t>
            </w:r>
          </w:p>
          <w:p w:rsidR="00712E40" w:rsidRPr="00EE7661" w:rsidRDefault="00712E40" w:rsidP="00712E40">
            <w:pPr>
              <w:numPr>
                <w:ilvl w:val="2"/>
                <w:numId w:val="9"/>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Notification by the exporter (This is a detailed written description of the LMO by the exporter, well in advance of the first shipment)</w:t>
            </w:r>
          </w:p>
          <w:p w:rsidR="00712E40" w:rsidRPr="00EE7661" w:rsidRDefault="00712E40" w:rsidP="00712E40">
            <w:pPr>
              <w:numPr>
                <w:ilvl w:val="2"/>
                <w:numId w:val="9"/>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Acknowledgement of notification receipt by the importer</w:t>
            </w:r>
          </w:p>
          <w:p w:rsidR="00712E40" w:rsidRPr="00EE7661" w:rsidRDefault="00712E40" w:rsidP="00712E40">
            <w:pPr>
              <w:numPr>
                <w:ilvl w:val="2"/>
                <w:numId w:val="9"/>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Decision procedure (Approve/prohibit/ask for more information, etc.)</w:t>
            </w:r>
          </w:p>
          <w:p w:rsidR="00712E40" w:rsidRPr="00EE7661" w:rsidRDefault="00712E40" w:rsidP="00712E40">
            <w:pPr>
              <w:numPr>
                <w:ilvl w:val="2"/>
                <w:numId w:val="9"/>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Review of decisions</w:t>
            </w:r>
          </w:p>
          <w:p w:rsidR="00712E40" w:rsidRPr="00EE7661" w:rsidRDefault="00712E40" w:rsidP="00712E40">
            <w:pPr>
              <w:numPr>
                <w:ilvl w:val="0"/>
                <w:numId w:val="10"/>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The Cartagena Protocol also sets up a </w:t>
            </w:r>
            <w:r w:rsidRPr="00EE7661">
              <w:rPr>
                <w:rFonts w:ascii="Times New Roman" w:hAnsi="Times New Roman" w:cs="Times New Roman"/>
                <w:b/>
                <w:bCs/>
                <w:color w:val="444444"/>
                <w:sz w:val="24"/>
                <w:szCs w:val="24"/>
              </w:rPr>
              <w:t>Biosafety Clearing-House</w:t>
            </w:r>
            <w:r w:rsidRPr="00EE7661">
              <w:rPr>
                <w:rFonts w:ascii="Times New Roman" w:hAnsi="Times New Roman" w:cs="Times New Roman"/>
                <w:color w:val="444444"/>
                <w:sz w:val="24"/>
                <w:szCs w:val="24"/>
              </w:rPr>
              <w:t> </w:t>
            </w:r>
            <w:r w:rsidRPr="00EE7661">
              <w:rPr>
                <w:rFonts w:ascii="Times New Roman" w:hAnsi="Times New Roman" w:cs="Times New Roman"/>
                <w:b/>
                <w:bCs/>
                <w:color w:val="444444"/>
                <w:sz w:val="24"/>
                <w:szCs w:val="24"/>
              </w:rPr>
              <w:t>(BCH)</w:t>
            </w:r>
            <w:r w:rsidRPr="00EE7661">
              <w:rPr>
                <w:rFonts w:ascii="Times New Roman" w:hAnsi="Times New Roman" w:cs="Times New Roman"/>
                <w:color w:val="444444"/>
                <w:sz w:val="24"/>
                <w:szCs w:val="24"/>
              </w:rPr>
              <w:t> to enable information exchange on LMOs between countries. </w:t>
            </w:r>
          </w:p>
          <w:p w:rsidR="00712E40" w:rsidRPr="00EE7661" w:rsidRDefault="00712E40" w:rsidP="00712E40">
            <w:pPr>
              <w:numPr>
                <w:ilvl w:val="1"/>
                <w:numId w:val="11"/>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It is also intended to help countries implement the Cartagena Protocol.</w:t>
            </w:r>
          </w:p>
          <w:p w:rsidR="00712E40" w:rsidRPr="00EE7661" w:rsidRDefault="00712E40" w:rsidP="00712E40">
            <w:pPr>
              <w:numPr>
                <w:ilvl w:val="1"/>
                <w:numId w:val="11"/>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The BCH is an information-sharing mechanism for relevant technical, scientific and legal information.</w:t>
            </w:r>
          </w:p>
          <w:p w:rsidR="00712E40" w:rsidRPr="00EE7661" w:rsidRDefault="00712E40" w:rsidP="00712E40">
            <w:pPr>
              <w:numPr>
                <w:ilvl w:val="0"/>
                <w:numId w:val="11"/>
              </w:numPr>
              <w:shd w:val="clear" w:color="auto" w:fill="FFFFFF"/>
              <w:spacing w:before="100" w:beforeAutospacing="1" w:after="75" w:line="240" w:lineRule="auto"/>
              <w:jc w:val="both"/>
              <w:rPr>
                <w:rFonts w:ascii="Times New Roman" w:hAnsi="Times New Roman" w:cs="Times New Roman"/>
                <w:color w:val="444444"/>
                <w:sz w:val="24"/>
                <w:szCs w:val="24"/>
              </w:rPr>
            </w:pPr>
            <w:r w:rsidRPr="00EE7661">
              <w:rPr>
                <w:rFonts w:ascii="Times New Roman" w:hAnsi="Times New Roman" w:cs="Times New Roman"/>
                <w:color w:val="444444"/>
                <w:sz w:val="24"/>
                <w:szCs w:val="24"/>
              </w:rPr>
              <w:t xml:space="preserve">The Protocol gives a precautionary approach to the issue of transfer of LMOs from one </w:t>
            </w:r>
            <w:r w:rsidRPr="00EE7661">
              <w:rPr>
                <w:rFonts w:ascii="Times New Roman" w:hAnsi="Times New Roman" w:cs="Times New Roman"/>
                <w:color w:val="444444"/>
                <w:sz w:val="24"/>
                <w:szCs w:val="24"/>
              </w:rPr>
              <w:lastRenderedPageBreak/>
              <w:t>country to another.</w:t>
            </w:r>
          </w:p>
          <w:p w:rsidR="00712E40" w:rsidRDefault="00712E40" w:rsidP="00712E40">
            <w:pPr>
              <w:pStyle w:val="NormalWeb"/>
              <w:shd w:val="clear" w:color="auto" w:fill="FFFFFF"/>
              <w:spacing w:before="0" w:beforeAutospacing="0" w:after="240" w:afterAutospacing="0" w:line="360" w:lineRule="atLeast"/>
              <w:jc w:val="both"/>
              <w:rPr>
                <w:rFonts w:ascii="Arial" w:hAnsi="Arial" w:cs="Arial"/>
                <w:color w:val="444444"/>
              </w:rPr>
            </w:pPr>
            <w:r>
              <w:rPr>
                <w:rFonts w:ascii="Arial" w:hAnsi="Arial" w:cs="Arial"/>
                <w:noProof/>
                <w:color w:val="444444"/>
              </w:rPr>
              <w:drawing>
                <wp:inline distT="0" distB="0" distL="0" distR="0" wp14:anchorId="1321B399" wp14:editId="0EF3A178">
                  <wp:extent cx="5132655" cy="2962275"/>
                  <wp:effectExtent l="0" t="0" r="0" b="0"/>
                  <wp:docPr id="1" name="Picture 1" descr="Cartagena Protocol Precautionary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tagena Protocol Precautionary Appro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655" cy="2962275"/>
                          </a:xfrm>
                          <a:prstGeom prst="rect">
                            <a:avLst/>
                          </a:prstGeom>
                          <a:noFill/>
                          <a:ln>
                            <a:noFill/>
                          </a:ln>
                        </pic:spPr>
                      </pic:pic>
                    </a:graphicData>
                  </a:graphic>
                </wp:inline>
              </w:drawing>
            </w:r>
          </w:p>
          <w:p w:rsidR="00536A7E" w:rsidRDefault="00536A7E" w:rsidP="00712E40">
            <w:pPr>
              <w:pStyle w:val="NormalWeb"/>
              <w:shd w:val="clear" w:color="auto" w:fill="FFFFFF"/>
              <w:spacing w:before="0" w:beforeAutospacing="0" w:after="240" w:afterAutospacing="0" w:line="360" w:lineRule="atLeast"/>
              <w:jc w:val="both"/>
              <w:rPr>
                <w:rFonts w:ascii="Arial" w:hAnsi="Arial" w:cs="Arial"/>
                <w:i/>
                <w:color w:val="4D5156"/>
                <w:sz w:val="16"/>
                <w:szCs w:val="16"/>
                <w:shd w:val="clear" w:color="auto" w:fill="FFFFFF"/>
              </w:rPr>
            </w:pPr>
            <w:r w:rsidRPr="00536A7E">
              <w:rPr>
                <w:rFonts w:ascii="Arial" w:hAnsi="Arial" w:cs="Arial"/>
                <w:i/>
                <w:color w:val="4D5156"/>
                <w:sz w:val="16"/>
                <w:szCs w:val="16"/>
                <w:shd w:val="clear" w:color="auto" w:fill="FFFFFF"/>
              </w:rPr>
              <w:t>The Conference of the Parties serving as the meeting of the Parties to the Protocol (</w:t>
            </w:r>
            <w:r w:rsidRPr="00536A7E">
              <w:rPr>
                <w:rStyle w:val="Emphasis"/>
                <w:rFonts w:ascii="Arial" w:hAnsi="Arial" w:cs="Arial"/>
                <w:b/>
                <w:bCs/>
                <w:i w:val="0"/>
                <w:iCs w:val="0"/>
                <w:color w:val="5F6368"/>
                <w:sz w:val="16"/>
                <w:szCs w:val="16"/>
                <w:shd w:val="clear" w:color="auto" w:fill="FFFFFF"/>
              </w:rPr>
              <w:t>COP</w:t>
            </w:r>
            <w:r w:rsidRPr="00536A7E">
              <w:rPr>
                <w:rFonts w:ascii="Arial" w:hAnsi="Arial" w:cs="Arial"/>
                <w:i/>
                <w:color w:val="4D5156"/>
                <w:sz w:val="16"/>
                <w:szCs w:val="16"/>
                <w:shd w:val="clear" w:color="auto" w:fill="FFFFFF"/>
              </w:rPr>
              <w:t>-</w:t>
            </w:r>
            <w:r w:rsidRPr="00536A7E">
              <w:rPr>
                <w:rStyle w:val="Emphasis"/>
                <w:rFonts w:ascii="Arial" w:hAnsi="Arial" w:cs="Arial"/>
                <w:b/>
                <w:bCs/>
                <w:i w:val="0"/>
                <w:iCs w:val="0"/>
                <w:color w:val="5F6368"/>
                <w:sz w:val="16"/>
                <w:szCs w:val="16"/>
                <w:shd w:val="clear" w:color="auto" w:fill="FFFFFF"/>
              </w:rPr>
              <w:t>MOP</w:t>
            </w:r>
            <w:r w:rsidRPr="00536A7E">
              <w:rPr>
                <w:rFonts w:ascii="Arial" w:hAnsi="Arial" w:cs="Arial"/>
                <w:i/>
                <w:color w:val="4D5156"/>
                <w:sz w:val="16"/>
                <w:szCs w:val="16"/>
                <w:shd w:val="clear" w:color="auto" w:fill="FFFFFF"/>
              </w:rPr>
              <w:t>)</w:t>
            </w:r>
          </w:p>
          <w:p w:rsidR="00536A7E" w:rsidRDefault="00536A7E" w:rsidP="00712E40">
            <w:pPr>
              <w:pStyle w:val="NormalWeb"/>
              <w:shd w:val="clear" w:color="auto" w:fill="FFFFFF"/>
              <w:spacing w:before="0" w:beforeAutospacing="0" w:after="240" w:afterAutospacing="0" w:line="360" w:lineRule="atLeast"/>
              <w:jc w:val="both"/>
              <w:rPr>
                <w:rFonts w:ascii="Arial" w:hAnsi="Arial" w:cs="Arial"/>
                <w:i/>
                <w:color w:val="4D5156"/>
                <w:sz w:val="16"/>
                <w:szCs w:val="16"/>
                <w:shd w:val="clear" w:color="auto" w:fill="FFFFFF"/>
              </w:rPr>
            </w:pPr>
            <w:r w:rsidRPr="00536A7E">
              <w:rPr>
                <w:rFonts w:ascii="Arial" w:hAnsi="Arial" w:cs="Arial"/>
                <w:i/>
                <w:color w:val="4D5156"/>
                <w:sz w:val="16"/>
                <w:szCs w:val="16"/>
                <w:shd w:val="clear" w:color="auto" w:fill="FFFFFF"/>
              </w:rPr>
              <w:t>Advance Informed Agreement" (AIA) </w:t>
            </w:r>
          </w:p>
          <w:p w:rsidR="00536A7E" w:rsidRPr="00536A7E" w:rsidRDefault="00536A7E" w:rsidP="00712E40">
            <w:pPr>
              <w:pStyle w:val="NormalWeb"/>
              <w:shd w:val="clear" w:color="auto" w:fill="FFFFFF"/>
              <w:spacing w:before="0" w:beforeAutospacing="0" w:after="240" w:afterAutospacing="0" w:line="360" w:lineRule="atLeast"/>
              <w:jc w:val="both"/>
              <w:rPr>
                <w:rFonts w:ascii="Arial" w:hAnsi="Arial" w:cs="Arial"/>
                <w:i/>
                <w:color w:val="4D5156"/>
                <w:sz w:val="16"/>
                <w:szCs w:val="16"/>
                <w:shd w:val="clear" w:color="auto" w:fill="FFFFFF"/>
              </w:rPr>
            </w:pPr>
            <w:r w:rsidRPr="00536A7E">
              <w:rPr>
                <w:rFonts w:ascii="Arial" w:hAnsi="Arial" w:cs="Arial"/>
                <w:i/>
                <w:color w:val="4D5156"/>
                <w:sz w:val="16"/>
                <w:szCs w:val="16"/>
                <w:shd w:val="clear" w:color="auto" w:fill="FFFFFF"/>
              </w:rPr>
              <w:t>food or feed, or for processing</w:t>
            </w:r>
            <w:r>
              <w:rPr>
                <w:rFonts w:ascii="Arial" w:hAnsi="Arial" w:cs="Arial"/>
                <w:i/>
                <w:color w:val="4D5156"/>
                <w:sz w:val="16"/>
                <w:szCs w:val="16"/>
                <w:shd w:val="clear" w:color="auto" w:fill="FFFFFF"/>
              </w:rPr>
              <w:t>(FFP)</w:t>
            </w:r>
          </w:p>
          <w:p w:rsidR="00712E40" w:rsidRDefault="00712E40" w:rsidP="00712E40">
            <w:pPr>
              <w:pStyle w:val="NormalWeb"/>
              <w:shd w:val="clear" w:color="auto" w:fill="FFFFFF"/>
              <w:spacing w:before="0" w:beforeAutospacing="0" w:after="240" w:afterAutospacing="0" w:line="360" w:lineRule="atLeast"/>
              <w:jc w:val="both"/>
              <w:rPr>
                <w:rFonts w:ascii="Arial" w:hAnsi="Arial" w:cs="Arial"/>
                <w:color w:val="444444"/>
              </w:rPr>
            </w:pPr>
            <w:r>
              <w:rPr>
                <w:rFonts w:ascii="Arial" w:hAnsi="Arial" w:cs="Arial"/>
                <w:i/>
                <w:iCs/>
                <w:color w:val="444444"/>
              </w:rPr>
              <w:t>Source: GEAC</w:t>
            </w:r>
          </w:p>
          <w:p w:rsidR="00712E40" w:rsidRDefault="00712E40" w:rsidP="00712E40">
            <w:pPr>
              <w:pStyle w:val="Heading3"/>
              <w:shd w:val="clear" w:color="auto" w:fill="FFFFFF"/>
              <w:spacing w:before="300" w:after="150" w:line="420" w:lineRule="atLeast"/>
              <w:jc w:val="both"/>
              <w:rPr>
                <w:rFonts w:ascii="Arial" w:hAnsi="Arial" w:cs="Arial"/>
                <w:color w:val="444444"/>
                <w:sz w:val="30"/>
                <w:szCs w:val="30"/>
              </w:rPr>
            </w:pPr>
            <w:r>
              <w:rPr>
                <w:rFonts w:ascii="Arial" w:hAnsi="Arial" w:cs="Arial"/>
                <w:b w:val="0"/>
                <w:bCs w:val="0"/>
                <w:color w:val="444444"/>
                <w:sz w:val="30"/>
                <w:szCs w:val="30"/>
              </w:rPr>
              <w:t>Cartagena Protocol Scope</w:t>
            </w:r>
          </w:p>
          <w:p w:rsidR="00712E40" w:rsidRDefault="00712E40" w:rsidP="00712E40">
            <w:pPr>
              <w:pStyle w:val="NormalWeb"/>
              <w:shd w:val="clear" w:color="auto" w:fill="FFFFFF"/>
              <w:spacing w:before="0" w:beforeAutospacing="0" w:after="240" w:afterAutospacing="0" w:line="360" w:lineRule="atLeast"/>
              <w:jc w:val="both"/>
              <w:rPr>
                <w:rFonts w:ascii="Arial" w:hAnsi="Arial" w:cs="Arial"/>
                <w:color w:val="444444"/>
              </w:rPr>
            </w:pPr>
            <w:r>
              <w:rPr>
                <w:rFonts w:ascii="Arial" w:hAnsi="Arial" w:cs="Arial"/>
                <w:color w:val="444444"/>
              </w:rPr>
              <w:t xml:space="preserve">The Protocol is applicable for </w:t>
            </w:r>
            <w:proofErr w:type="spellStart"/>
            <w:r>
              <w:rPr>
                <w:rFonts w:ascii="Arial" w:hAnsi="Arial" w:cs="Arial"/>
                <w:color w:val="444444"/>
              </w:rPr>
              <w:t>transboundary</w:t>
            </w:r>
            <w:proofErr w:type="spellEnd"/>
            <w:r>
              <w:rPr>
                <w:rFonts w:ascii="Arial" w:hAnsi="Arial" w:cs="Arial"/>
                <w:color w:val="444444"/>
              </w:rPr>
              <w:t xml:space="preserve"> movement, transit, handling and use of all LMOs that may have harmful effects on the conservation and sustainable use of biological diversity, also considering risks to human health.</w:t>
            </w:r>
          </w:p>
          <w:p w:rsidR="00712E40" w:rsidRDefault="00712E40" w:rsidP="00712E40">
            <w:pPr>
              <w:numPr>
                <w:ilvl w:val="0"/>
                <w:numId w:val="12"/>
              </w:numPr>
              <w:shd w:val="clear" w:color="auto" w:fill="FFFFFF"/>
              <w:spacing w:before="100" w:beforeAutospacing="1" w:after="75" w:line="240" w:lineRule="auto"/>
              <w:jc w:val="both"/>
              <w:rPr>
                <w:rFonts w:ascii="Arial" w:hAnsi="Arial" w:cs="Arial"/>
                <w:color w:val="444444"/>
                <w:sz w:val="21"/>
                <w:szCs w:val="21"/>
              </w:rPr>
            </w:pPr>
            <w:r>
              <w:rPr>
                <w:rFonts w:ascii="Arial" w:hAnsi="Arial" w:cs="Arial"/>
                <w:color w:val="444444"/>
                <w:sz w:val="21"/>
                <w:szCs w:val="21"/>
              </w:rPr>
              <w:t>The Cartagena Protocol chiefly governs the following:</w:t>
            </w:r>
          </w:p>
          <w:p w:rsidR="00712E40" w:rsidRDefault="00712E40" w:rsidP="00712E40">
            <w:pPr>
              <w:numPr>
                <w:ilvl w:val="1"/>
                <w:numId w:val="13"/>
              </w:numPr>
              <w:shd w:val="clear" w:color="auto" w:fill="FFFFFF"/>
              <w:spacing w:before="100" w:beforeAutospacing="1" w:after="75" w:line="240" w:lineRule="auto"/>
              <w:jc w:val="both"/>
              <w:rPr>
                <w:rFonts w:ascii="Arial" w:hAnsi="Arial" w:cs="Arial"/>
                <w:color w:val="444444"/>
                <w:sz w:val="21"/>
                <w:szCs w:val="21"/>
              </w:rPr>
            </w:pPr>
            <w:r>
              <w:rPr>
                <w:rFonts w:ascii="Arial" w:hAnsi="Arial" w:cs="Arial"/>
                <w:color w:val="444444"/>
                <w:sz w:val="21"/>
                <w:szCs w:val="21"/>
              </w:rPr>
              <w:t>LMOs that are intentionally introduced into the environment (trees, seeds or fish).</w:t>
            </w:r>
          </w:p>
          <w:p w:rsidR="00712E40" w:rsidRDefault="00712E40" w:rsidP="00712E40">
            <w:pPr>
              <w:numPr>
                <w:ilvl w:val="1"/>
                <w:numId w:val="13"/>
              </w:numPr>
              <w:shd w:val="clear" w:color="auto" w:fill="FFFFFF"/>
              <w:spacing w:before="100" w:beforeAutospacing="1" w:after="75" w:line="240" w:lineRule="auto"/>
              <w:jc w:val="both"/>
              <w:rPr>
                <w:rFonts w:ascii="Arial" w:hAnsi="Arial" w:cs="Arial"/>
                <w:color w:val="444444"/>
                <w:sz w:val="21"/>
                <w:szCs w:val="21"/>
              </w:rPr>
            </w:pPr>
            <w:r>
              <w:rPr>
                <w:rFonts w:ascii="Arial" w:hAnsi="Arial" w:cs="Arial"/>
                <w:color w:val="444444"/>
                <w:sz w:val="21"/>
                <w:szCs w:val="21"/>
              </w:rPr>
              <w:t>Genetically modified (GM) farm commodities (grain and corn used for animal feed, food or for processing).</w:t>
            </w:r>
          </w:p>
          <w:p w:rsidR="00712E40" w:rsidRDefault="00712E40" w:rsidP="00712E40">
            <w:pPr>
              <w:numPr>
                <w:ilvl w:val="0"/>
                <w:numId w:val="13"/>
              </w:numPr>
              <w:shd w:val="clear" w:color="auto" w:fill="FFFFFF"/>
              <w:spacing w:before="100" w:beforeAutospacing="1" w:after="75" w:line="240" w:lineRule="auto"/>
              <w:jc w:val="both"/>
              <w:rPr>
                <w:rFonts w:ascii="Arial" w:hAnsi="Arial" w:cs="Arial"/>
                <w:color w:val="444444"/>
                <w:sz w:val="21"/>
                <w:szCs w:val="21"/>
              </w:rPr>
            </w:pPr>
            <w:r>
              <w:rPr>
                <w:rFonts w:ascii="Arial" w:hAnsi="Arial" w:cs="Arial"/>
                <w:color w:val="444444"/>
                <w:sz w:val="21"/>
                <w:szCs w:val="21"/>
              </w:rPr>
              <w:t>It does not cover pharmaceuticals for humans addressed by other international agreements and organisations or products derived from LMOs, such as cooking oil from GM corn.</w:t>
            </w:r>
          </w:p>
          <w:p w:rsidR="00712E40" w:rsidRDefault="00712E40" w:rsidP="00712E40">
            <w:pPr>
              <w:numPr>
                <w:ilvl w:val="0"/>
                <w:numId w:val="13"/>
              </w:numPr>
              <w:shd w:val="clear" w:color="auto" w:fill="FFFFFF"/>
              <w:spacing w:before="100" w:beforeAutospacing="1" w:after="75" w:line="240" w:lineRule="auto"/>
              <w:jc w:val="both"/>
              <w:rPr>
                <w:rFonts w:ascii="Arial" w:hAnsi="Arial" w:cs="Arial"/>
                <w:color w:val="444444"/>
                <w:sz w:val="21"/>
                <w:szCs w:val="21"/>
              </w:rPr>
            </w:pPr>
            <w:r>
              <w:rPr>
                <w:rFonts w:ascii="Arial" w:hAnsi="Arial" w:cs="Arial"/>
                <w:color w:val="444444"/>
                <w:sz w:val="21"/>
                <w:szCs w:val="21"/>
              </w:rPr>
              <w:t>LMOs are classified as the following under the Protocol:</w:t>
            </w:r>
          </w:p>
          <w:p w:rsidR="00712E40" w:rsidRDefault="00712E40" w:rsidP="00712E40">
            <w:pPr>
              <w:numPr>
                <w:ilvl w:val="1"/>
                <w:numId w:val="13"/>
              </w:numPr>
              <w:shd w:val="clear" w:color="auto" w:fill="FFFFFF"/>
              <w:spacing w:before="100" w:beforeAutospacing="1" w:after="75" w:line="240" w:lineRule="auto"/>
              <w:jc w:val="both"/>
              <w:rPr>
                <w:rFonts w:ascii="Arial" w:hAnsi="Arial" w:cs="Arial"/>
                <w:color w:val="444444"/>
                <w:sz w:val="21"/>
                <w:szCs w:val="21"/>
              </w:rPr>
            </w:pPr>
            <w:r>
              <w:rPr>
                <w:rFonts w:ascii="Arial" w:hAnsi="Arial" w:cs="Arial"/>
                <w:color w:val="444444"/>
                <w:sz w:val="21"/>
                <w:szCs w:val="21"/>
              </w:rPr>
              <w:t>LMOs for intentional introduction into the environment – subject to AIA procedures.</w:t>
            </w:r>
          </w:p>
          <w:p w:rsidR="00712E40" w:rsidRDefault="00712E40" w:rsidP="00712E40">
            <w:pPr>
              <w:numPr>
                <w:ilvl w:val="1"/>
                <w:numId w:val="13"/>
              </w:numPr>
              <w:shd w:val="clear" w:color="auto" w:fill="FFFFFF"/>
              <w:spacing w:before="100" w:beforeAutospacing="1" w:after="75" w:line="240" w:lineRule="auto"/>
              <w:jc w:val="both"/>
              <w:rPr>
                <w:rFonts w:ascii="Arial" w:hAnsi="Arial" w:cs="Arial"/>
                <w:color w:val="444444"/>
                <w:sz w:val="21"/>
                <w:szCs w:val="21"/>
              </w:rPr>
            </w:pPr>
            <w:r>
              <w:rPr>
                <w:rFonts w:ascii="Arial" w:hAnsi="Arial" w:cs="Arial"/>
                <w:color w:val="444444"/>
                <w:sz w:val="21"/>
                <w:szCs w:val="21"/>
              </w:rPr>
              <w:t>LMOs for direct usage as food or feed, or for processing – subject to simplified procedures which include informing through the BCH.</w:t>
            </w:r>
          </w:p>
          <w:p w:rsidR="00712E40" w:rsidRDefault="00712E40" w:rsidP="00712E40">
            <w:pPr>
              <w:numPr>
                <w:ilvl w:val="1"/>
                <w:numId w:val="13"/>
              </w:numPr>
              <w:shd w:val="clear" w:color="auto" w:fill="FFFFFF"/>
              <w:spacing w:before="100" w:beforeAutospacing="1" w:after="75" w:line="240" w:lineRule="auto"/>
              <w:jc w:val="both"/>
              <w:rPr>
                <w:rFonts w:ascii="Arial" w:hAnsi="Arial" w:cs="Arial"/>
                <w:color w:val="444444"/>
                <w:sz w:val="21"/>
                <w:szCs w:val="21"/>
              </w:rPr>
            </w:pPr>
            <w:r>
              <w:rPr>
                <w:rFonts w:ascii="Arial" w:hAnsi="Arial" w:cs="Arial"/>
                <w:color w:val="444444"/>
                <w:sz w:val="21"/>
                <w:szCs w:val="21"/>
              </w:rPr>
              <w:t>LMOs for contained usage (like bacteria for lab experiments) –</w:t>
            </w:r>
            <w:proofErr w:type="gramStart"/>
            <w:r>
              <w:rPr>
                <w:rFonts w:ascii="Arial" w:hAnsi="Arial" w:cs="Arial"/>
                <w:color w:val="444444"/>
                <w:sz w:val="21"/>
                <w:szCs w:val="21"/>
              </w:rPr>
              <w:t>  these</w:t>
            </w:r>
            <w:proofErr w:type="gramEnd"/>
            <w:r>
              <w:rPr>
                <w:rFonts w:ascii="Arial" w:hAnsi="Arial" w:cs="Arial"/>
                <w:color w:val="444444"/>
                <w:sz w:val="21"/>
                <w:szCs w:val="21"/>
              </w:rPr>
              <w:t xml:space="preserve"> are exempt from AIA procedures.</w:t>
            </w:r>
            <w:bookmarkStart w:id="2" w:name="_GoBack"/>
            <w:bookmarkEnd w:id="2"/>
          </w:p>
          <w:p w:rsidR="00712E40" w:rsidRDefault="00712E40" w:rsidP="00712E40">
            <w:pPr>
              <w:pStyle w:val="Heading2"/>
              <w:shd w:val="clear" w:color="auto" w:fill="FFFFFF"/>
              <w:spacing w:before="300" w:beforeAutospacing="0" w:after="150" w:afterAutospacing="0" w:line="480" w:lineRule="atLeast"/>
              <w:jc w:val="both"/>
              <w:rPr>
                <w:rFonts w:ascii="Arial" w:hAnsi="Arial" w:cs="Arial"/>
                <w:color w:val="444444"/>
              </w:rPr>
            </w:pPr>
            <w:r>
              <w:rPr>
                <w:rFonts w:ascii="Arial" w:hAnsi="Arial" w:cs="Arial"/>
                <w:b w:val="0"/>
                <w:bCs w:val="0"/>
                <w:color w:val="444444"/>
              </w:rPr>
              <w:lastRenderedPageBreak/>
              <w:t>Cartagena Protocol and India</w:t>
            </w:r>
          </w:p>
          <w:p w:rsidR="00712E40" w:rsidRDefault="00712E40" w:rsidP="00712E40">
            <w:pPr>
              <w:pStyle w:val="NormalWeb"/>
              <w:shd w:val="clear" w:color="auto" w:fill="FFFFFF"/>
              <w:spacing w:before="0" w:beforeAutospacing="0" w:after="240" w:afterAutospacing="0" w:line="360" w:lineRule="atLeast"/>
              <w:jc w:val="both"/>
              <w:rPr>
                <w:rFonts w:ascii="Arial" w:hAnsi="Arial" w:cs="Arial"/>
                <w:color w:val="444444"/>
              </w:rPr>
            </w:pPr>
            <w:r>
              <w:rPr>
                <w:rFonts w:ascii="Arial" w:hAnsi="Arial" w:cs="Arial"/>
                <w:color w:val="444444"/>
              </w:rPr>
              <w:t>India is a party to the Cartagena Protocol (ratified in 2003). The nodal agency (Competent National Authority-CNA) in the country for the implementation of the Protocol is the Ministry of Environment, Forest and Climate Change (MOEF&amp;CC), Government of India.</w:t>
            </w:r>
          </w:p>
          <w:p w:rsidR="00712E40" w:rsidRDefault="00712E40" w:rsidP="00712E40">
            <w:pPr>
              <w:numPr>
                <w:ilvl w:val="0"/>
                <w:numId w:val="14"/>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Regarding setting up of procedures for regulating LMOs, India was one of the early movers in the development of a biosafety regulatory framework, way back in 1989, and has a systematic and structured science-based regulatory system. </w:t>
            </w:r>
          </w:p>
          <w:p w:rsidR="00712E40" w:rsidRDefault="00712E40" w:rsidP="00712E40">
            <w:pPr>
              <w:numPr>
                <w:ilvl w:val="0"/>
                <w:numId w:val="14"/>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In the Indian regulations, the terms Genetically Engineered Organism or Genetically Modified Organism are used, which are synonymous with LMOs. </w:t>
            </w:r>
          </w:p>
          <w:p w:rsidR="00712E40" w:rsidRDefault="00712E40" w:rsidP="00712E40">
            <w:pPr>
              <w:numPr>
                <w:ilvl w:val="0"/>
                <w:numId w:val="14"/>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In India, series of guidelines are available for risk assessment and risk management of GMOs.</w:t>
            </w:r>
          </w:p>
          <w:p w:rsidR="003E03EE" w:rsidRDefault="003E03EE" w:rsidP="003E03EE">
            <w:pPr>
              <w:spacing w:before="300" w:after="150" w:line="240" w:lineRule="auto"/>
              <w:jc w:val="center"/>
              <w:outlineLvl w:val="1"/>
              <w:rPr>
                <w:rFonts w:ascii="Verdana" w:eastAsia="Times New Roman" w:hAnsi="Verdana" w:cs="Times New Roman"/>
                <w:b/>
                <w:bCs/>
                <w:color w:val="001E87"/>
                <w:sz w:val="20"/>
                <w:szCs w:val="20"/>
                <w:lang w:eastAsia="en-IN"/>
              </w:rPr>
            </w:pPr>
          </w:p>
          <w:p w:rsidR="003E03EE" w:rsidRPr="003E03EE" w:rsidRDefault="003E03EE" w:rsidP="003E03EE">
            <w:pPr>
              <w:spacing w:before="300" w:after="150" w:line="240" w:lineRule="auto"/>
              <w:jc w:val="center"/>
              <w:outlineLvl w:val="1"/>
              <w:rPr>
                <w:rFonts w:ascii="Verdana" w:eastAsia="Times New Roman" w:hAnsi="Verdana" w:cs="Times New Roman"/>
                <w:b/>
                <w:bCs/>
                <w:color w:val="001E87"/>
                <w:sz w:val="20"/>
                <w:szCs w:val="20"/>
                <w:lang w:eastAsia="en-IN"/>
              </w:rPr>
            </w:pPr>
            <w:r w:rsidRPr="003E03EE">
              <w:rPr>
                <w:rFonts w:ascii="Verdana" w:eastAsia="Times New Roman" w:hAnsi="Verdana" w:cs="Times New Roman"/>
                <w:b/>
                <w:bCs/>
                <w:color w:val="001E87"/>
                <w:sz w:val="20"/>
                <w:szCs w:val="20"/>
                <w:lang w:eastAsia="en-IN"/>
              </w:rPr>
              <w:t>Elements of the Strategic Plan for the Cartagena Protocol on Biosafety</w:t>
            </w:r>
          </w:p>
        </w:tc>
      </w:tr>
    </w:tbl>
    <w:p w:rsidR="003E03EE" w:rsidRPr="003E03EE" w:rsidRDefault="003E03EE" w:rsidP="003E03EE">
      <w:pPr>
        <w:spacing w:after="0" w:line="240" w:lineRule="auto"/>
        <w:rPr>
          <w:rFonts w:ascii="Times New Roman" w:eastAsia="Times New Roman" w:hAnsi="Times New Roman" w:cs="Times New Roman"/>
          <w:vanish/>
          <w:sz w:val="24"/>
          <w:szCs w:val="24"/>
          <w:lang w:eastAsia="en-IN"/>
        </w:rPr>
      </w:pPr>
    </w:p>
    <w:tbl>
      <w:tblPr>
        <w:tblW w:w="8396" w:type="dxa"/>
        <w:shd w:val="clear" w:color="auto" w:fill="FFFFFF"/>
        <w:tblCellMar>
          <w:left w:w="0" w:type="dxa"/>
          <w:right w:w="0" w:type="dxa"/>
        </w:tblCellMar>
        <w:tblLook w:val="04A0" w:firstRow="1" w:lastRow="0" w:firstColumn="1" w:lastColumn="0" w:noHBand="0" w:noVBand="1"/>
      </w:tblPr>
      <w:tblGrid>
        <w:gridCol w:w="6347"/>
        <w:gridCol w:w="79"/>
        <w:gridCol w:w="2600"/>
      </w:tblGrid>
      <w:tr w:rsidR="003E03EE" w:rsidRPr="003E03EE" w:rsidTr="00712E40">
        <w:trPr>
          <w:trHeight w:val="153"/>
        </w:trPr>
        <w:tc>
          <w:tcPr>
            <w:tcW w:w="5802" w:type="dxa"/>
            <w:shd w:val="clear" w:color="auto" w:fill="FFFFFF"/>
            <w:vAlign w:val="center"/>
            <w:hideMark/>
          </w:tcPr>
          <w:p w:rsidR="003E03EE" w:rsidRPr="003E03EE" w:rsidRDefault="003E03EE" w:rsidP="003E03EE">
            <w:pPr>
              <w:spacing w:after="0" w:line="240" w:lineRule="auto"/>
              <w:jc w:val="right"/>
              <w:rPr>
                <w:rFonts w:ascii="Times New Roman" w:eastAsia="Times New Roman" w:hAnsi="Times New Roman" w:cs="Times New Roman"/>
                <w:color w:val="505050"/>
                <w:sz w:val="24"/>
                <w:szCs w:val="24"/>
                <w:lang w:eastAsia="en-IN"/>
              </w:rPr>
            </w:pPr>
            <w:hyperlink r:id="rId9" w:anchor="vision" w:history="1">
              <w:r w:rsidRPr="00D03FFB">
                <w:rPr>
                  <w:rFonts w:ascii="Times New Roman" w:eastAsia="Times New Roman" w:hAnsi="Times New Roman" w:cs="Times New Roman"/>
                  <w:b/>
                  <w:bCs/>
                  <w:color w:val="337AB7"/>
                  <w:sz w:val="24"/>
                  <w:szCs w:val="24"/>
                  <w:u w:val="single"/>
                  <w:lang w:eastAsia="en-IN"/>
                </w:rPr>
                <w:t>Vision</w:t>
              </w:r>
            </w:hyperlink>
          </w:p>
        </w:tc>
        <w:tc>
          <w:tcPr>
            <w:tcW w:w="85" w:type="dxa"/>
            <w:shd w:val="clear" w:color="auto" w:fill="FFFFFF"/>
            <w:vAlign w:val="center"/>
            <w:hideMark/>
          </w:tcPr>
          <w:p w:rsidR="003E03EE" w:rsidRPr="003E03EE" w:rsidRDefault="003E03EE" w:rsidP="003E03EE">
            <w:pPr>
              <w:spacing w:after="0" w:line="240" w:lineRule="auto"/>
              <w:jc w:val="center"/>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w:t>
            </w:r>
          </w:p>
        </w:tc>
        <w:tc>
          <w:tcPr>
            <w:tcW w:w="0" w:type="auto"/>
            <w:shd w:val="clear" w:color="auto" w:fill="FFFFFF"/>
            <w:vAlign w:val="center"/>
            <w:hideMark/>
          </w:tcPr>
          <w:p w:rsidR="003E03EE" w:rsidRPr="003E03EE" w:rsidRDefault="00EE7661" w:rsidP="003E03EE">
            <w:pPr>
              <w:spacing w:after="0" w:line="240" w:lineRule="auto"/>
              <w:rPr>
                <w:rFonts w:ascii="Times New Roman" w:eastAsia="Times New Roman" w:hAnsi="Times New Roman" w:cs="Times New Roman"/>
                <w:color w:val="505050"/>
                <w:sz w:val="24"/>
                <w:szCs w:val="24"/>
                <w:lang w:eastAsia="en-IN"/>
              </w:rPr>
            </w:pPr>
            <w:hyperlink r:id="rId10" w:anchor="vision" w:history="1">
              <w:r w:rsidR="003E03EE" w:rsidRPr="00D03FFB">
                <w:rPr>
                  <w:rFonts w:ascii="Times New Roman" w:eastAsia="Times New Roman" w:hAnsi="Times New Roman" w:cs="Times New Roman"/>
                  <w:b/>
                  <w:bCs/>
                  <w:color w:val="337AB7"/>
                  <w:sz w:val="24"/>
                  <w:szCs w:val="24"/>
                  <w:u w:val="single"/>
                  <w:lang w:eastAsia="en-IN"/>
                </w:rPr>
                <w:t>Mission</w:t>
              </w:r>
            </w:hyperlink>
          </w:p>
        </w:tc>
      </w:tr>
      <w:tr w:rsidR="003E03EE" w:rsidRPr="003E03EE" w:rsidTr="00712E40">
        <w:trPr>
          <w:trHeight w:val="153"/>
        </w:trPr>
        <w:tc>
          <w:tcPr>
            <w:tcW w:w="5802" w:type="dxa"/>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 </w:t>
            </w:r>
          </w:p>
        </w:tc>
        <w:tc>
          <w:tcPr>
            <w:tcW w:w="0" w:type="auto"/>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sz w:val="24"/>
                <w:szCs w:val="24"/>
                <w:lang w:eastAsia="en-IN"/>
              </w:rPr>
            </w:pPr>
          </w:p>
        </w:tc>
        <w:tc>
          <w:tcPr>
            <w:tcW w:w="0" w:type="auto"/>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sz w:val="24"/>
                <w:szCs w:val="24"/>
                <w:lang w:eastAsia="en-IN"/>
              </w:rPr>
            </w:pPr>
          </w:p>
        </w:tc>
      </w:tr>
      <w:tr w:rsidR="003E03EE" w:rsidRPr="003E03EE" w:rsidTr="00712E40">
        <w:trPr>
          <w:trHeight w:val="153"/>
        </w:trPr>
        <w:tc>
          <w:tcPr>
            <w:tcW w:w="5802" w:type="dxa"/>
            <w:shd w:val="clear" w:color="auto" w:fill="FFFFFF"/>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b/>
                <w:bCs/>
                <w:i/>
                <w:iCs/>
                <w:color w:val="505050"/>
                <w:sz w:val="24"/>
                <w:szCs w:val="24"/>
                <w:lang w:eastAsia="en-IN"/>
              </w:rPr>
              <w:t>Strategic Objectives</w:t>
            </w:r>
          </w:p>
        </w:tc>
        <w:tc>
          <w:tcPr>
            <w:tcW w:w="85" w:type="dxa"/>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 </w:t>
            </w:r>
          </w:p>
        </w:tc>
        <w:tc>
          <w:tcPr>
            <w:tcW w:w="0" w:type="auto"/>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b/>
                <w:bCs/>
                <w:i/>
                <w:iCs/>
                <w:color w:val="505050"/>
                <w:sz w:val="24"/>
                <w:szCs w:val="24"/>
                <w:lang w:eastAsia="en-IN"/>
              </w:rPr>
              <w:t>Operational Objectives</w:t>
            </w:r>
          </w:p>
        </w:tc>
      </w:tr>
      <w:tr w:rsidR="003E03EE" w:rsidRPr="003E03EE" w:rsidTr="00712E40">
        <w:trPr>
          <w:trHeight w:val="153"/>
        </w:trPr>
        <w:tc>
          <w:tcPr>
            <w:tcW w:w="5802" w:type="dxa"/>
            <w:shd w:val="clear" w:color="auto" w:fill="FFFFFF"/>
            <w:vAlign w:val="center"/>
            <w:hideMark/>
          </w:tcPr>
          <w:p w:rsidR="003E03EE" w:rsidRPr="003E03EE" w:rsidRDefault="00EE7661" w:rsidP="003E03EE">
            <w:pPr>
              <w:spacing w:before="300" w:after="300" w:line="240" w:lineRule="auto"/>
              <w:rPr>
                <w:rFonts w:ascii="Times New Roman" w:eastAsia="Times New Roman" w:hAnsi="Times New Roman" w:cs="Times New Roman"/>
                <w:color w:val="505050"/>
                <w:sz w:val="24"/>
                <w:szCs w:val="24"/>
                <w:lang w:eastAsia="en-IN"/>
              </w:rPr>
            </w:pPr>
            <w:r>
              <w:rPr>
                <w:rFonts w:ascii="Times New Roman" w:eastAsia="Times New Roman" w:hAnsi="Times New Roman" w:cs="Times New Roman"/>
                <w:color w:val="505050"/>
                <w:sz w:val="24"/>
                <w:szCs w:val="24"/>
                <w:lang w:eastAsia="en-IN"/>
              </w:rPr>
              <w:pict>
                <v:rect id="_x0000_i1025" style="width:0;height:.75pt" o:hralign="center" o:hrstd="t" o:hr="t" fillcolor="#a0a0a0" stroked="f"/>
              </w:pict>
            </w:r>
          </w:p>
        </w:tc>
        <w:tc>
          <w:tcPr>
            <w:tcW w:w="0" w:type="auto"/>
            <w:shd w:val="clear" w:color="auto" w:fill="FFFFFF"/>
            <w:vAlign w:val="center"/>
            <w:hideMark/>
          </w:tcPr>
          <w:p w:rsidR="003E03EE" w:rsidRPr="003E03EE" w:rsidRDefault="003E03EE" w:rsidP="003E03EE">
            <w:pPr>
              <w:spacing w:before="300" w:after="30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 </w:t>
            </w:r>
          </w:p>
        </w:tc>
        <w:tc>
          <w:tcPr>
            <w:tcW w:w="0" w:type="auto"/>
            <w:shd w:val="clear" w:color="auto" w:fill="FFFFFF"/>
            <w:vAlign w:val="center"/>
            <w:hideMark/>
          </w:tcPr>
          <w:p w:rsidR="003E03EE" w:rsidRPr="003E03EE" w:rsidRDefault="00EE7661" w:rsidP="003E03EE">
            <w:pPr>
              <w:spacing w:before="300" w:after="300" w:line="240" w:lineRule="auto"/>
              <w:rPr>
                <w:rFonts w:ascii="Times New Roman" w:eastAsia="Times New Roman" w:hAnsi="Times New Roman" w:cs="Times New Roman"/>
                <w:color w:val="505050"/>
                <w:sz w:val="24"/>
                <w:szCs w:val="24"/>
                <w:lang w:eastAsia="en-IN"/>
              </w:rPr>
            </w:pPr>
            <w:r>
              <w:rPr>
                <w:rFonts w:ascii="Times New Roman" w:eastAsia="Times New Roman" w:hAnsi="Times New Roman" w:cs="Times New Roman"/>
                <w:color w:val="505050"/>
                <w:sz w:val="24"/>
                <w:szCs w:val="24"/>
                <w:lang w:eastAsia="en-IN"/>
              </w:rPr>
              <w:pict>
                <v:rect id="_x0000_i1026" style="width:0;height:.75pt" o:hralign="center" o:hrstd="t" o:hr="t" fillcolor="#a0a0a0" stroked="f"/>
              </w:pict>
            </w:r>
          </w:p>
        </w:tc>
      </w:tr>
      <w:tr w:rsidR="003E03EE" w:rsidRPr="003E03EE" w:rsidTr="00712E40">
        <w:trPr>
          <w:trHeight w:val="153"/>
        </w:trPr>
        <w:tc>
          <w:tcPr>
            <w:tcW w:w="5802" w:type="dxa"/>
            <w:shd w:val="clear" w:color="auto" w:fill="FFFFFF"/>
            <w:hideMark/>
          </w:tcPr>
          <w:p w:rsidR="003E03EE" w:rsidRPr="003E03EE" w:rsidRDefault="003E03EE" w:rsidP="00712E40">
            <w:pPr>
              <w:spacing w:before="300" w:after="300" w:line="240" w:lineRule="auto"/>
              <w:ind w:right="4904"/>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br/>
            </w:r>
            <w:hyperlink r:id="rId11" w:anchor="fa1" w:history="1">
              <w:r w:rsidRPr="00D03FFB">
                <w:rPr>
                  <w:rFonts w:ascii="Times New Roman" w:eastAsia="Times New Roman" w:hAnsi="Times New Roman" w:cs="Times New Roman"/>
                  <w:color w:val="337AB7"/>
                  <w:sz w:val="24"/>
                  <w:szCs w:val="24"/>
                  <w:u w:val="single"/>
                  <w:lang w:eastAsia="en-IN"/>
                </w:rPr>
                <w:t>Focal area 1</w:t>
              </w:r>
            </w:hyperlink>
            <w:r w:rsidRPr="003E03EE">
              <w:rPr>
                <w:rFonts w:ascii="Times New Roman" w:eastAsia="Times New Roman" w:hAnsi="Times New Roman" w:cs="Times New Roman"/>
                <w:color w:val="505050"/>
                <w:sz w:val="24"/>
                <w:szCs w:val="24"/>
                <w:lang w:eastAsia="en-IN"/>
              </w:rPr>
              <w:t> : Facilitating the establishment and further development of effective biosafety systems for the implementation of the Protocol</w:t>
            </w:r>
          </w:p>
        </w:tc>
        <w:tc>
          <w:tcPr>
            <w:tcW w:w="0" w:type="auto"/>
            <w:shd w:val="clear" w:color="auto" w:fill="FFFFFF"/>
            <w:vAlign w:val="center"/>
            <w:hideMark/>
          </w:tcPr>
          <w:p w:rsidR="003E03EE" w:rsidRPr="003E03EE" w:rsidRDefault="003E03EE" w:rsidP="003E03EE">
            <w:pPr>
              <w:spacing w:before="300" w:after="30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 </w:t>
            </w:r>
          </w:p>
        </w:tc>
        <w:tc>
          <w:tcPr>
            <w:tcW w:w="0" w:type="auto"/>
            <w:shd w:val="clear" w:color="auto" w:fill="FFFFFF"/>
            <w:hideMark/>
          </w:tcPr>
          <w:p w:rsidR="003E03EE" w:rsidRPr="003E03EE" w:rsidRDefault="00EE7661" w:rsidP="003E03EE">
            <w:pPr>
              <w:numPr>
                <w:ilvl w:val="0"/>
                <w:numId w:val="2"/>
              </w:numPr>
              <w:spacing w:before="90" w:after="90" w:line="260" w:lineRule="atLeast"/>
              <w:rPr>
                <w:rFonts w:ascii="Times New Roman" w:eastAsia="Times New Roman" w:hAnsi="Times New Roman" w:cs="Times New Roman"/>
                <w:color w:val="505050"/>
                <w:sz w:val="24"/>
                <w:szCs w:val="24"/>
                <w:lang w:eastAsia="en-IN"/>
              </w:rPr>
            </w:pPr>
            <w:hyperlink r:id="rId12" w:anchor="oo1_1" w:history="1">
              <w:r w:rsidR="003E03EE" w:rsidRPr="00D03FFB">
                <w:rPr>
                  <w:rFonts w:ascii="Times New Roman" w:eastAsia="Times New Roman" w:hAnsi="Times New Roman" w:cs="Times New Roman"/>
                  <w:color w:val="337AB7"/>
                  <w:sz w:val="24"/>
                  <w:szCs w:val="24"/>
                  <w:u w:val="single"/>
                  <w:lang w:eastAsia="en-IN"/>
                </w:rPr>
                <w:t>National Biosafety Frameworks</w:t>
              </w:r>
            </w:hyperlink>
          </w:p>
          <w:p w:rsidR="003E03EE" w:rsidRPr="003E03EE" w:rsidRDefault="00EE7661" w:rsidP="003E03EE">
            <w:pPr>
              <w:numPr>
                <w:ilvl w:val="0"/>
                <w:numId w:val="2"/>
              </w:numPr>
              <w:spacing w:before="90" w:after="90" w:line="260" w:lineRule="atLeast"/>
              <w:rPr>
                <w:rFonts w:ascii="Times New Roman" w:eastAsia="Times New Roman" w:hAnsi="Times New Roman" w:cs="Times New Roman"/>
                <w:color w:val="505050"/>
                <w:sz w:val="24"/>
                <w:szCs w:val="24"/>
                <w:lang w:eastAsia="en-IN"/>
              </w:rPr>
            </w:pPr>
            <w:hyperlink r:id="rId13" w:anchor="oo1_2" w:history="1">
              <w:r w:rsidR="003E03EE" w:rsidRPr="00D03FFB">
                <w:rPr>
                  <w:rFonts w:ascii="Times New Roman" w:eastAsia="Times New Roman" w:hAnsi="Times New Roman" w:cs="Times New Roman"/>
                  <w:color w:val="337AB7"/>
                  <w:sz w:val="24"/>
                  <w:szCs w:val="24"/>
                  <w:u w:val="single"/>
                  <w:lang w:eastAsia="en-IN"/>
                </w:rPr>
                <w:t>Coordination and support</w:t>
              </w:r>
            </w:hyperlink>
          </w:p>
          <w:p w:rsidR="003E03EE" w:rsidRPr="003E03EE" w:rsidRDefault="00EE7661" w:rsidP="003E03EE">
            <w:pPr>
              <w:numPr>
                <w:ilvl w:val="0"/>
                <w:numId w:val="2"/>
              </w:numPr>
              <w:spacing w:before="90" w:after="90" w:line="260" w:lineRule="atLeast"/>
              <w:rPr>
                <w:rFonts w:ascii="Times New Roman" w:eastAsia="Times New Roman" w:hAnsi="Times New Roman" w:cs="Times New Roman"/>
                <w:color w:val="505050"/>
                <w:sz w:val="24"/>
                <w:szCs w:val="24"/>
                <w:lang w:eastAsia="en-IN"/>
              </w:rPr>
            </w:pPr>
            <w:hyperlink r:id="rId14" w:anchor="oo1_3" w:history="1">
              <w:r w:rsidR="003E03EE" w:rsidRPr="00D03FFB">
                <w:rPr>
                  <w:rFonts w:ascii="Times New Roman" w:eastAsia="Times New Roman" w:hAnsi="Times New Roman" w:cs="Times New Roman"/>
                  <w:color w:val="337AB7"/>
                  <w:sz w:val="24"/>
                  <w:szCs w:val="24"/>
                  <w:u w:val="single"/>
                  <w:lang w:eastAsia="en-IN"/>
                </w:rPr>
                <w:t>Risk assessment and risk management</w:t>
              </w:r>
            </w:hyperlink>
          </w:p>
          <w:p w:rsidR="003E03EE" w:rsidRPr="003E03EE" w:rsidRDefault="00EE7661" w:rsidP="003E03EE">
            <w:pPr>
              <w:numPr>
                <w:ilvl w:val="0"/>
                <w:numId w:val="2"/>
              </w:numPr>
              <w:spacing w:before="90" w:after="90" w:line="260" w:lineRule="atLeast"/>
              <w:rPr>
                <w:rFonts w:ascii="Times New Roman" w:eastAsia="Times New Roman" w:hAnsi="Times New Roman" w:cs="Times New Roman"/>
                <w:color w:val="505050"/>
                <w:sz w:val="24"/>
                <w:szCs w:val="24"/>
                <w:lang w:eastAsia="en-IN"/>
              </w:rPr>
            </w:pPr>
            <w:hyperlink r:id="rId15" w:anchor="oo1_4" w:history="1">
              <w:r w:rsidR="003E03EE" w:rsidRPr="00D03FFB">
                <w:rPr>
                  <w:rFonts w:ascii="Times New Roman" w:eastAsia="Times New Roman" w:hAnsi="Times New Roman" w:cs="Times New Roman"/>
                  <w:color w:val="337AB7"/>
                  <w:sz w:val="24"/>
                  <w:szCs w:val="24"/>
                  <w:u w:val="single"/>
                  <w:lang w:eastAsia="en-IN"/>
                </w:rPr>
                <w:t>LMOs or traits that may have adverse effects</w:t>
              </w:r>
            </w:hyperlink>
          </w:p>
          <w:p w:rsidR="003E03EE" w:rsidRPr="003E03EE" w:rsidRDefault="00EE7661" w:rsidP="003E03EE">
            <w:pPr>
              <w:numPr>
                <w:ilvl w:val="0"/>
                <w:numId w:val="2"/>
              </w:numPr>
              <w:spacing w:before="90" w:after="90" w:line="260" w:lineRule="atLeast"/>
              <w:rPr>
                <w:rFonts w:ascii="Times New Roman" w:eastAsia="Times New Roman" w:hAnsi="Times New Roman" w:cs="Times New Roman"/>
                <w:color w:val="505050"/>
                <w:sz w:val="24"/>
                <w:szCs w:val="24"/>
                <w:lang w:eastAsia="en-IN"/>
              </w:rPr>
            </w:pPr>
            <w:hyperlink r:id="rId16" w:anchor="oo1_5" w:history="1">
              <w:r w:rsidR="003E03EE" w:rsidRPr="00D03FFB">
                <w:rPr>
                  <w:rFonts w:ascii="Times New Roman" w:eastAsia="Times New Roman" w:hAnsi="Times New Roman" w:cs="Times New Roman"/>
                  <w:color w:val="337AB7"/>
                  <w:sz w:val="24"/>
                  <w:szCs w:val="24"/>
                  <w:u w:val="single"/>
                  <w:lang w:eastAsia="en-IN"/>
                </w:rPr>
                <w:t>Liability and Redress</w:t>
              </w:r>
            </w:hyperlink>
          </w:p>
          <w:p w:rsidR="003E03EE" w:rsidRPr="003E03EE" w:rsidRDefault="00EE7661" w:rsidP="003E03EE">
            <w:pPr>
              <w:numPr>
                <w:ilvl w:val="0"/>
                <w:numId w:val="2"/>
              </w:numPr>
              <w:spacing w:before="90" w:after="90" w:line="260" w:lineRule="atLeast"/>
              <w:rPr>
                <w:rFonts w:ascii="Times New Roman" w:eastAsia="Times New Roman" w:hAnsi="Times New Roman" w:cs="Times New Roman"/>
                <w:color w:val="505050"/>
                <w:sz w:val="24"/>
                <w:szCs w:val="24"/>
                <w:lang w:eastAsia="en-IN"/>
              </w:rPr>
            </w:pPr>
            <w:hyperlink r:id="rId17" w:anchor="oo1_6" w:history="1">
              <w:r w:rsidR="003E03EE" w:rsidRPr="00D03FFB">
                <w:rPr>
                  <w:rFonts w:ascii="Times New Roman" w:eastAsia="Times New Roman" w:hAnsi="Times New Roman" w:cs="Times New Roman"/>
                  <w:color w:val="337AB7"/>
                  <w:sz w:val="24"/>
                  <w:szCs w:val="24"/>
                  <w:u w:val="single"/>
                  <w:lang w:eastAsia="en-IN"/>
                </w:rPr>
                <w:t>Handling, transport, packaging and identification</w:t>
              </w:r>
            </w:hyperlink>
          </w:p>
          <w:p w:rsidR="003E03EE" w:rsidRPr="003E03EE" w:rsidRDefault="00EE7661" w:rsidP="003E03EE">
            <w:pPr>
              <w:numPr>
                <w:ilvl w:val="0"/>
                <w:numId w:val="2"/>
              </w:numPr>
              <w:spacing w:before="90" w:after="90" w:line="260" w:lineRule="atLeast"/>
              <w:rPr>
                <w:rFonts w:ascii="Times New Roman" w:eastAsia="Times New Roman" w:hAnsi="Times New Roman" w:cs="Times New Roman"/>
                <w:color w:val="505050"/>
                <w:sz w:val="24"/>
                <w:szCs w:val="24"/>
                <w:lang w:eastAsia="en-IN"/>
              </w:rPr>
            </w:pPr>
            <w:hyperlink r:id="rId18" w:anchor="oo1_7" w:history="1">
              <w:r w:rsidR="003E03EE" w:rsidRPr="00D03FFB">
                <w:rPr>
                  <w:rFonts w:ascii="Times New Roman" w:eastAsia="Times New Roman" w:hAnsi="Times New Roman" w:cs="Times New Roman"/>
                  <w:color w:val="337AB7"/>
                  <w:sz w:val="24"/>
                  <w:szCs w:val="24"/>
                  <w:u w:val="single"/>
                  <w:lang w:eastAsia="en-IN"/>
                </w:rPr>
                <w:t>Socio-economic considerations</w:t>
              </w:r>
            </w:hyperlink>
          </w:p>
          <w:p w:rsidR="003E03EE" w:rsidRPr="003E03EE" w:rsidRDefault="00EE7661" w:rsidP="003E03EE">
            <w:pPr>
              <w:numPr>
                <w:ilvl w:val="0"/>
                <w:numId w:val="2"/>
              </w:numPr>
              <w:spacing w:before="90" w:after="90" w:line="260" w:lineRule="atLeast"/>
              <w:rPr>
                <w:rFonts w:ascii="Times New Roman" w:eastAsia="Times New Roman" w:hAnsi="Times New Roman" w:cs="Times New Roman"/>
                <w:color w:val="505050"/>
                <w:sz w:val="24"/>
                <w:szCs w:val="24"/>
                <w:lang w:eastAsia="en-IN"/>
              </w:rPr>
            </w:pPr>
            <w:hyperlink r:id="rId19" w:anchor="oo1_8" w:history="1">
              <w:r w:rsidR="003E03EE" w:rsidRPr="00D03FFB">
                <w:rPr>
                  <w:rFonts w:ascii="Times New Roman" w:eastAsia="Times New Roman" w:hAnsi="Times New Roman" w:cs="Times New Roman"/>
                  <w:color w:val="337AB7"/>
                  <w:sz w:val="24"/>
                  <w:szCs w:val="24"/>
                  <w:u w:val="single"/>
                  <w:lang w:eastAsia="en-IN"/>
                </w:rPr>
                <w:t xml:space="preserve">Transit, contained use, unintentional </w:t>
              </w:r>
              <w:proofErr w:type="spellStart"/>
              <w:r w:rsidR="003E03EE" w:rsidRPr="00D03FFB">
                <w:rPr>
                  <w:rFonts w:ascii="Times New Roman" w:eastAsia="Times New Roman" w:hAnsi="Times New Roman" w:cs="Times New Roman"/>
                  <w:color w:val="337AB7"/>
                  <w:sz w:val="24"/>
                  <w:szCs w:val="24"/>
                  <w:u w:val="single"/>
                  <w:lang w:eastAsia="en-IN"/>
                </w:rPr>
                <w:lastRenderedPageBreak/>
                <w:t>transboundary</w:t>
              </w:r>
              <w:proofErr w:type="spellEnd"/>
              <w:r w:rsidR="003E03EE" w:rsidRPr="00D03FFB">
                <w:rPr>
                  <w:rFonts w:ascii="Times New Roman" w:eastAsia="Times New Roman" w:hAnsi="Times New Roman" w:cs="Times New Roman"/>
                  <w:color w:val="337AB7"/>
                  <w:sz w:val="24"/>
                  <w:szCs w:val="24"/>
                  <w:u w:val="single"/>
                  <w:lang w:eastAsia="en-IN"/>
                </w:rPr>
                <w:t xml:space="preserve"> movements and emergency measures</w:t>
              </w:r>
            </w:hyperlink>
          </w:p>
        </w:tc>
      </w:tr>
      <w:tr w:rsidR="003E03EE" w:rsidRPr="003E03EE" w:rsidTr="00712E40">
        <w:trPr>
          <w:trHeight w:val="153"/>
        </w:trPr>
        <w:tc>
          <w:tcPr>
            <w:tcW w:w="5802" w:type="dxa"/>
            <w:shd w:val="clear" w:color="auto" w:fill="FFFFFF"/>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lastRenderedPageBreak/>
              <w:br/>
            </w:r>
            <w:hyperlink r:id="rId20" w:anchor="fa2" w:history="1">
              <w:r w:rsidRPr="00D03FFB">
                <w:rPr>
                  <w:rFonts w:ascii="Times New Roman" w:eastAsia="Times New Roman" w:hAnsi="Times New Roman" w:cs="Times New Roman"/>
                  <w:color w:val="337AB7"/>
                  <w:sz w:val="24"/>
                  <w:szCs w:val="24"/>
                  <w:u w:val="single"/>
                  <w:lang w:eastAsia="en-IN"/>
                </w:rPr>
                <w:t>Focal area 2</w:t>
              </w:r>
            </w:hyperlink>
            <w:r w:rsidRPr="003E03EE">
              <w:rPr>
                <w:rFonts w:ascii="Times New Roman" w:eastAsia="Times New Roman" w:hAnsi="Times New Roman" w:cs="Times New Roman"/>
                <w:color w:val="505050"/>
                <w:sz w:val="24"/>
                <w:szCs w:val="24"/>
                <w:lang w:eastAsia="en-IN"/>
              </w:rPr>
              <w:t> : Capacity building</w:t>
            </w:r>
          </w:p>
        </w:tc>
        <w:tc>
          <w:tcPr>
            <w:tcW w:w="0" w:type="auto"/>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 </w:t>
            </w:r>
          </w:p>
        </w:tc>
        <w:tc>
          <w:tcPr>
            <w:tcW w:w="0" w:type="auto"/>
            <w:shd w:val="clear" w:color="auto" w:fill="FFFFFF"/>
            <w:hideMark/>
          </w:tcPr>
          <w:p w:rsidR="003E03EE" w:rsidRPr="003E03EE" w:rsidRDefault="00EE7661" w:rsidP="003E03EE">
            <w:pPr>
              <w:numPr>
                <w:ilvl w:val="0"/>
                <w:numId w:val="3"/>
              </w:numPr>
              <w:spacing w:before="90" w:after="90" w:line="260" w:lineRule="atLeast"/>
              <w:rPr>
                <w:rFonts w:ascii="Times New Roman" w:eastAsia="Times New Roman" w:hAnsi="Times New Roman" w:cs="Times New Roman"/>
                <w:color w:val="505050"/>
                <w:sz w:val="24"/>
                <w:szCs w:val="24"/>
                <w:lang w:eastAsia="en-IN"/>
              </w:rPr>
            </w:pPr>
            <w:hyperlink r:id="rId21" w:anchor="oo2_1" w:history="1">
              <w:r w:rsidR="003E03EE" w:rsidRPr="00D03FFB">
                <w:rPr>
                  <w:rFonts w:ascii="Times New Roman" w:eastAsia="Times New Roman" w:hAnsi="Times New Roman" w:cs="Times New Roman"/>
                  <w:color w:val="337AB7"/>
                  <w:sz w:val="24"/>
                  <w:szCs w:val="24"/>
                  <w:u w:val="single"/>
                  <w:lang w:eastAsia="en-IN"/>
                </w:rPr>
                <w:t>National Biosafety Frameworks</w:t>
              </w:r>
            </w:hyperlink>
          </w:p>
          <w:p w:rsidR="003E03EE" w:rsidRPr="003E03EE" w:rsidRDefault="00EE7661" w:rsidP="003E03EE">
            <w:pPr>
              <w:numPr>
                <w:ilvl w:val="0"/>
                <w:numId w:val="3"/>
              </w:numPr>
              <w:spacing w:before="90" w:after="90" w:line="260" w:lineRule="atLeast"/>
              <w:rPr>
                <w:rFonts w:ascii="Times New Roman" w:eastAsia="Times New Roman" w:hAnsi="Times New Roman" w:cs="Times New Roman"/>
                <w:color w:val="505050"/>
                <w:sz w:val="24"/>
                <w:szCs w:val="24"/>
                <w:lang w:eastAsia="en-IN"/>
              </w:rPr>
            </w:pPr>
            <w:hyperlink r:id="rId22" w:anchor="oo2_2" w:history="1">
              <w:r w:rsidR="003E03EE" w:rsidRPr="00D03FFB">
                <w:rPr>
                  <w:rFonts w:ascii="Times New Roman" w:eastAsia="Times New Roman" w:hAnsi="Times New Roman" w:cs="Times New Roman"/>
                  <w:color w:val="337AB7"/>
                  <w:sz w:val="24"/>
                  <w:szCs w:val="24"/>
                  <w:u w:val="single"/>
                  <w:lang w:eastAsia="en-IN"/>
                </w:rPr>
                <w:t>Risk assessment and risk management</w:t>
              </w:r>
            </w:hyperlink>
          </w:p>
          <w:p w:rsidR="003E03EE" w:rsidRPr="003E03EE" w:rsidRDefault="00EE7661" w:rsidP="003E03EE">
            <w:pPr>
              <w:numPr>
                <w:ilvl w:val="0"/>
                <w:numId w:val="3"/>
              </w:numPr>
              <w:spacing w:before="90" w:after="90" w:line="260" w:lineRule="atLeast"/>
              <w:rPr>
                <w:rFonts w:ascii="Times New Roman" w:eastAsia="Times New Roman" w:hAnsi="Times New Roman" w:cs="Times New Roman"/>
                <w:color w:val="505050"/>
                <w:sz w:val="24"/>
                <w:szCs w:val="24"/>
                <w:lang w:eastAsia="en-IN"/>
              </w:rPr>
            </w:pPr>
            <w:hyperlink r:id="rId23" w:anchor="oo2_3" w:history="1">
              <w:r w:rsidR="003E03EE" w:rsidRPr="00D03FFB">
                <w:rPr>
                  <w:rFonts w:ascii="Times New Roman" w:eastAsia="Times New Roman" w:hAnsi="Times New Roman" w:cs="Times New Roman"/>
                  <w:color w:val="337AB7"/>
                  <w:sz w:val="24"/>
                  <w:szCs w:val="24"/>
                  <w:u w:val="single"/>
                  <w:lang w:eastAsia="en-IN"/>
                </w:rPr>
                <w:t>Handling, transport, packaging and identification</w:t>
              </w:r>
            </w:hyperlink>
          </w:p>
          <w:p w:rsidR="003E03EE" w:rsidRPr="003E03EE" w:rsidRDefault="00EE7661" w:rsidP="003E03EE">
            <w:pPr>
              <w:numPr>
                <w:ilvl w:val="0"/>
                <w:numId w:val="3"/>
              </w:numPr>
              <w:spacing w:before="90" w:after="90" w:line="260" w:lineRule="atLeast"/>
              <w:rPr>
                <w:rFonts w:ascii="Times New Roman" w:eastAsia="Times New Roman" w:hAnsi="Times New Roman" w:cs="Times New Roman"/>
                <w:color w:val="505050"/>
                <w:sz w:val="24"/>
                <w:szCs w:val="24"/>
                <w:lang w:eastAsia="en-IN"/>
              </w:rPr>
            </w:pPr>
            <w:hyperlink r:id="rId24" w:anchor="oo2_4" w:history="1">
              <w:r w:rsidR="003E03EE" w:rsidRPr="00D03FFB">
                <w:rPr>
                  <w:rFonts w:ascii="Times New Roman" w:eastAsia="Times New Roman" w:hAnsi="Times New Roman" w:cs="Times New Roman"/>
                  <w:color w:val="337AB7"/>
                  <w:sz w:val="24"/>
                  <w:szCs w:val="24"/>
                  <w:u w:val="single"/>
                  <w:lang w:eastAsia="en-IN"/>
                </w:rPr>
                <w:t>Liability and Redress</w:t>
              </w:r>
            </w:hyperlink>
          </w:p>
          <w:p w:rsidR="003E03EE" w:rsidRPr="003E03EE" w:rsidRDefault="00EE7661" w:rsidP="003E03EE">
            <w:pPr>
              <w:numPr>
                <w:ilvl w:val="0"/>
                <w:numId w:val="3"/>
              </w:numPr>
              <w:spacing w:before="90" w:after="90" w:line="260" w:lineRule="atLeast"/>
              <w:rPr>
                <w:rFonts w:ascii="Times New Roman" w:eastAsia="Times New Roman" w:hAnsi="Times New Roman" w:cs="Times New Roman"/>
                <w:color w:val="505050"/>
                <w:sz w:val="24"/>
                <w:szCs w:val="24"/>
                <w:lang w:eastAsia="en-IN"/>
              </w:rPr>
            </w:pPr>
            <w:hyperlink r:id="rId25" w:anchor="oo2_5" w:history="1">
              <w:r w:rsidR="003E03EE" w:rsidRPr="00D03FFB">
                <w:rPr>
                  <w:rFonts w:ascii="Times New Roman" w:eastAsia="Times New Roman" w:hAnsi="Times New Roman" w:cs="Times New Roman"/>
                  <w:color w:val="337AB7"/>
                  <w:sz w:val="24"/>
                  <w:szCs w:val="24"/>
                  <w:u w:val="single"/>
                  <w:lang w:eastAsia="en-IN"/>
                </w:rPr>
                <w:t>Public awareness, education and participation</w:t>
              </w:r>
            </w:hyperlink>
          </w:p>
          <w:p w:rsidR="003E03EE" w:rsidRPr="003E03EE" w:rsidRDefault="00EE7661" w:rsidP="003E03EE">
            <w:pPr>
              <w:numPr>
                <w:ilvl w:val="0"/>
                <w:numId w:val="3"/>
              </w:numPr>
              <w:spacing w:before="90" w:after="90" w:line="260" w:lineRule="atLeast"/>
              <w:rPr>
                <w:rFonts w:ascii="Times New Roman" w:eastAsia="Times New Roman" w:hAnsi="Times New Roman" w:cs="Times New Roman"/>
                <w:color w:val="505050"/>
                <w:sz w:val="24"/>
                <w:szCs w:val="24"/>
                <w:lang w:eastAsia="en-IN"/>
              </w:rPr>
            </w:pPr>
            <w:hyperlink r:id="rId26" w:anchor="oo2_6" w:history="1">
              <w:r w:rsidR="003E03EE" w:rsidRPr="00D03FFB">
                <w:rPr>
                  <w:rFonts w:ascii="Times New Roman" w:eastAsia="Times New Roman" w:hAnsi="Times New Roman" w:cs="Times New Roman"/>
                  <w:color w:val="337AB7"/>
                  <w:sz w:val="24"/>
                  <w:szCs w:val="24"/>
                  <w:u w:val="single"/>
                  <w:lang w:eastAsia="en-IN"/>
                </w:rPr>
                <w:t>Information sharing</w:t>
              </w:r>
            </w:hyperlink>
          </w:p>
          <w:p w:rsidR="003E03EE" w:rsidRPr="003E03EE" w:rsidRDefault="00EE7661" w:rsidP="003E03EE">
            <w:pPr>
              <w:numPr>
                <w:ilvl w:val="0"/>
                <w:numId w:val="3"/>
              </w:numPr>
              <w:spacing w:before="90" w:after="90" w:line="260" w:lineRule="atLeast"/>
              <w:rPr>
                <w:rFonts w:ascii="Times New Roman" w:eastAsia="Times New Roman" w:hAnsi="Times New Roman" w:cs="Times New Roman"/>
                <w:color w:val="505050"/>
                <w:sz w:val="24"/>
                <w:szCs w:val="24"/>
                <w:lang w:eastAsia="en-IN"/>
              </w:rPr>
            </w:pPr>
            <w:hyperlink r:id="rId27" w:anchor="oo2_7" w:history="1">
              <w:r w:rsidR="003E03EE" w:rsidRPr="00D03FFB">
                <w:rPr>
                  <w:rFonts w:ascii="Times New Roman" w:eastAsia="Times New Roman" w:hAnsi="Times New Roman" w:cs="Times New Roman"/>
                  <w:color w:val="337AB7"/>
                  <w:sz w:val="24"/>
                  <w:szCs w:val="24"/>
                  <w:u w:val="single"/>
                  <w:lang w:eastAsia="en-IN"/>
                </w:rPr>
                <w:t>Biosafety education and training</w:t>
              </w:r>
            </w:hyperlink>
          </w:p>
        </w:tc>
      </w:tr>
      <w:tr w:rsidR="003E03EE" w:rsidRPr="003E03EE" w:rsidTr="00712E40">
        <w:trPr>
          <w:trHeight w:val="153"/>
        </w:trPr>
        <w:tc>
          <w:tcPr>
            <w:tcW w:w="5802" w:type="dxa"/>
            <w:shd w:val="clear" w:color="auto" w:fill="FFFFFF"/>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br/>
            </w:r>
            <w:hyperlink r:id="rId28" w:anchor="fa3" w:history="1">
              <w:r w:rsidRPr="00D03FFB">
                <w:rPr>
                  <w:rFonts w:ascii="Times New Roman" w:eastAsia="Times New Roman" w:hAnsi="Times New Roman" w:cs="Times New Roman"/>
                  <w:color w:val="337AB7"/>
                  <w:sz w:val="24"/>
                  <w:szCs w:val="24"/>
                  <w:u w:val="single"/>
                  <w:lang w:eastAsia="en-IN"/>
                </w:rPr>
                <w:t>Focal area 3</w:t>
              </w:r>
            </w:hyperlink>
            <w:r w:rsidRPr="003E03EE">
              <w:rPr>
                <w:rFonts w:ascii="Times New Roman" w:eastAsia="Times New Roman" w:hAnsi="Times New Roman" w:cs="Times New Roman"/>
                <w:color w:val="505050"/>
                <w:sz w:val="24"/>
                <w:szCs w:val="24"/>
                <w:lang w:eastAsia="en-IN"/>
              </w:rPr>
              <w:t> : Compliance and review</w:t>
            </w:r>
          </w:p>
        </w:tc>
        <w:tc>
          <w:tcPr>
            <w:tcW w:w="0" w:type="auto"/>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 </w:t>
            </w:r>
          </w:p>
        </w:tc>
        <w:tc>
          <w:tcPr>
            <w:tcW w:w="0" w:type="auto"/>
            <w:shd w:val="clear" w:color="auto" w:fill="FFFFFF"/>
            <w:hideMark/>
          </w:tcPr>
          <w:p w:rsidR="003E03EE" w:rsidRPr="003E03EE" w:rsidRDefault="00EE7661" w:rsidP="003E03EE">
            <w:pPr>
              <w:numPr>
                <w:ilvl w:val="0"/>
                <w:numId w:val="4"/>
              </w:numPr>
              <w:spacing w:before="90" w:after="90" w:line="260" w:lineRule="atLeast"/>
              <w:rPr>
                <w:rFonts w:ascii="Times New Roman" w:eastAsia="Times New Roman" w:hAnsi="Times New Roman" w:cs="Times New Roman"/>
                <w:color w:val="505050"/>
                <w:sz w:val="24"/>
                <w:szCs w:val="24"/>
                <w:lang w:eastAsia="en-IN"/>
              </w:rPr>
            </w:pPr>
            <w:hyperlink r:id="rId29" w:anchor="oo3_1" w:history="1">
              <w:r w:rsidR="003E03EE" w:rsidRPr="00D03FFB">
                <w:rPr>
                  <w:rFonts w:ascii="Times New Roman" w:eastAsia="Times New Roman" w:hAnsi="Times New Roman" w:cs="Times New Roman"/>
                  <w:color w:val="337AB7"/>
                  <w:sz w:val="24"/>
                  <w:szCs w:val="24"/>
                  <w:u w:val="single"/>
                  <w:lang w:eastAsia="en-IN"/>
                </w:rPr>
                <w:t>Compliance with the Protocol</w:t>
              </w:r>
            </w:hyperlink>
          </w:p>
          <w:p w:rsidR="003E03EE" w:rsidRPr="003E03EE" w:rsidRDefault="00EE7661" w:rsidP="003E03EE">
            <w:pPr>
              <w:numPr>
                <w:ilvl w:val="0"/>
                <w:numId w:val="4"/>
              </w:numPr>
              <w:spacing w:before="90" w:after="90" w:line="260" w:lineRule="atLeast"/>
              <w:rPr>
                <w:rFonts w:ascii="Times New Roman" w:eastAsia="Times New Roman" w:hAnsi="Times New Roman" w:cs="Times New Roman"/>
                <w:color w:val="505050"/>
                <w:sz w:val="24"/>
                <w:szCs w:val="24"/>
                <w:lang w:eastAsia="en-IN"/>
              </w:rPr>
            </w:pPr>
            <w:hyperlink r:id="rId30" w:anchor="oo3_2" w:history="1">
              <w:r w:rsidR="003E03EE" w:rsidRPr="00D03FFB">
                <w:rPr>
                  <w:rFonts w:ascii="Times New Roman" w:eastAsia="Times New Roman" w:hAnsi="Times New Roman" w:cs="Times New Roman"/>
                  <w:color w:val="337AB7"/>
                  <w:sz w:val="24"/>
                  <w:szCs w:val="24"/>
                  <w:u w:val="single"/>
                  <w:lang w:eastAsia="en-IN"/>
                </w:rPr>
                <w:t>Assessment and review</w:t>
              </w:r>
            </w:hyperlink>
          </w:p>
        </w:tc>
      </w:tr>
      <w:tr w:rsidR="003E03EE" w:rsidRPr="003E03EE" w:rsidTr="00712E40">
        <w:trPr>
          <w:trHeight w:val="153"/>
        </w:trPr>
        <w:tc>
          <w:tcPr>
            <w:tcW w:w="5802" w:type="dxa"/>
            <w:shd w:val="clear" w:color="auto" w:fill="FFFFFF"/>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br/>
            </w:r>
            <w:hyperlink r:id="rId31" w:anchor="fa4" w:history="1">
              <w:r w:rsidRPr="00D03FFB">
                <w:rPr>
                  <w:rFonts w:ascii="Times New Roman" w:eastAsia="Times New Roman" w:hAnsi="Times New Roman" w:cs="Times New Roman"/>
                  <w:color w:val="337AB7"/>
                  <w:sz w:val="24"/>
                  <w:szCs w:val="24"/>
                  <w:u w:val="single"/>
                  <w:lang w:eastAsia="en-IN"/>
                </w:rPr>
                <w:t>Focal area 4</w:t>
              </w:r>
            </w:hyperlink>
            <w:r w:rsidRPr="003E03EE">
              <w:rPr>
                <w:rFonts w:ascii="Times New Roman" w:eastAsia="Times New Roman" w:hAnsi="Times New Roman" w:cs="Times New Roman"/>
                <w:color w:val="505050"/>
                <w:sz w:val="24"/>
                <w:szCs w:val="24"/>
                <w:lang w:eastAsia="en-IN"/>
              </w:rPr>
              <w:t> : Information sharing</w:t>
            </w:r>
          </w:p>
        </w:tc>
        <w:tc>
          <w:tcPr>
            <w:tcW w:w="0" w:type="auto"/>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 </w:t>
            </w:r>
          </w:p>
        </w:tc>
        <w:tc>
          <w:tcPr>
            <w:tcW w:w="0" w:type="auto"/>
            <w:shd w:val="clear" w:color="auto" w:fill="FFFFFF"/>
            <w:hideMark/>
          </w:tcPr>
          <w:p w:rsidR="003E03EE" w:rsidRPr="003E03EE" w:rsidRDefault="00EE7661" w:rsidP="003E03EE">
            <w:pPr>
              <w:numPr>
                <w:ilvl w:val="0"/>
                <w:numId w:val="5"/>
              </w:numPr>
              <w:spacing w:before="90" w:after="90" w:line="260" w:lineRule="atLeast"/>
              <w:rPr>
                <w:rFonts w:ascii="Times New Roman" w:eastAsia="Times New Roman" w:hAnsi="Times New Roman" w:cs="Times New Roman"/>
                <w:color w:val="505050"/>
                <w:sz w:val="24"/>
                <w:szCs w:val="24"/>
                <w:lang w:eastAsia="en-IN"/>
              </w:rPr>
            </w:pPr>
            <w:hyperlink r:id="rId32" w:anchor="oo4_1" w:history="1">
              <w:r w:rsidR="003E03EE" w:rsidRPr="00D03FFB">
                <w:rPr>
                  <w:rFonts w:ascii="Times New Roman" w:eastAsia="Times New Roman" w:hAnsi="Times New Roman" w:cs="Times New Roman"/>
                  <w:color w:val="337AB7"/>
                  <w:sz w:val="24"/>
                  <w:szCs w:val="24"/>
                  <w:u w:val="single"/>
                  <w:lang w:eastAsia="en-IN"/>
                </w:rPr>
                <w:t>BCH effectiveness</w:t>
              </w:r>
            </w:hyperlink>
          </w:p>
          <w:p w:rsidR="003E03EE" w:rsidRPr="003E03EE" w:rsidRDefault="00EE7661" w:rsidP="003E03EE">
            <w:pPr>
              <w:numPr>
                <w:ilvl w:val="0"/>
                <w:numId w:val="5"/>
              </w:numPr>
              <w:spacing w:before="90" w:after="90" w:line="260" w:lineRule="atLeast"/>
              <w:rPr>
                <w:rFonts w:ascii="Times New Roman" w:eastAsia="Times New Roman" w:hAnsi="Times New Roman" w:cs="Times New Roman"/>
                <w:color w:val="505050"/>
                <w:sz w:val="24"/>
                <w:szCs w:val="24"/>
                <w:lang w:eastAsia="en-IN"/>
              </w:rPr>
            </w:pPr>
            <w:hyperlink r:id="rId33" w:anchor="oo4_2" w:history="1">
              <w:r w:rsidR="003E03EE" w:rsidRPr="00D03FFB">
                <w:rPr>
                  <w:rFonts w:ascii="Times New Roman" w:eastAsia="Times New Roman" w:hAnsi="Times New Roman" w:cs="Times New Roman"/>
                  <w:color w:val="337AB7"/>
                  <w:sz w:val="24"/>
                  <w:szCs w:val="24"/>
                  <w:u w:val="single"/>
                  <w:lang w:eastAsia="en-IN"/>
                </w:rPr>
                <w:t>BCH as a tool for online discussions and conferences</w:t>
              </w:r>
            </w:hyperlink>
          </w:p>
          <w:p w:rsidR="003E03EE" w:rsidRPr="003E03EE" w:rsidRDefault="00EE7661" w:rsidP="003E03EE">
            <w:pPr>
              <w:numPr>
                <w:ilvl w:val="0"/>
                <w:numId w:val="5"/>
              </w:numPr>
              <w:spacing w:before="90" w:after="90" w:line="260" w:lineRule="atLeast"/>
              <w:rPr>
                <w:rFonts w:ascii="Times New Roman" w:eastAsia="Times New Roman" w:hAnsi="Times New Roman" w:cs="Times New Roman"/>
                <w:color w:val="505050"/>
                <w:sz w:val="24"/>
                <w:szCs w:val="24"/>
                <w:lang w:eastAsia="en-IN"/>
              </w:rPr>
            </w:pPr>
            <w:hyperlink r:id="rId34" w:anchor="oo4_3" w:history="1">
              <w:r w:rsidR="003E03EE" w:rsidRPr="00D03FFB">
                <w:rPr>
                  <w:rFonts w:ascii="Times New Roman" w:eastAsia="Times New Roman" w:hAnsi="Times New Roman" w:cs="Times New Roman"/>
                  <w:color w:val="337AB7"/>
                  <w:sz w:val="24"/>
                  <w:szCs w:val="24"/>
                  <w:u w:val="single"/>
                  <w:lang w:eastAsia="en-IN"/>
                </w:rPr>
                <w:t>Information sharing other than through the BCH</w:t>
              </w:r>
            </w:hyperlink>
          </w:p>
        </w:tc>
      </w:tr>
      <w:tr w:rsidR="00D03FFB" w:rsidRPr="003E03EE" w:rsidTr="00712E40">
        <w:trPr>
          <w:trHeight w:val="153"/>
        </w:trPr>
        <w:tc>
          <w:tcPr>
            <w:tcW w:w="5802" w:type="dxa"/>
            <w:shd w:val="clear" w:color="auto" w:fill="FFFFFF"/>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br/>
            </w:r>
            <w:hyperlink r:id="rId35" w:anchor="fa5" w:history="1">
              <w:r w:rsidRPr="00D03FFB">
                <w:rPr>
                  <w:rFonts w:ascii="Times New Roman" w:eastAsia="Times New Roman" w:hAnsi="Times New Roman" w:cs="Times New Roman"/>
                  <w:color w:val="337AB7"/>
                  <w:sz w:val="24"/>
                  <w:szCs w:val="24"/>
                  <w:u w:val="single"/>
                  <w:lang w:eastAsia="en-IN"/>
                </w:rPr>
                <w:t>Focal area 5</w:t>
              </w:r>
            </w:hyperlink>
            <w:r w:rsidRPr="003E03EE">
              <w:rPr>
                <w:rFonts w:ascii="Times New Roman" w:eastAsia="Times New Roman" w:hAnsi="Times New Roman" w:cs="Times New Roman"/>
                <w:color w:val="505050"/>
                <w:sz w:val="24"/>
                <w:szCs w:val="24"/>
                <w:lang w:eastAsia="en-IN"/>
              </w:rPr>
              <w:t> : Outreach and cooperation</w:t>
            </w:r>
          </w:p>
        </w:tc>
        <w:tc>
          <w:tcPr>
            <w:tcW w:w="0" w:type="auto"/>
            <w:shd w:val="clear" w:color="auto" w:fill="FFFFFF"/>
            <w:vAlign w:val="center"/>
            <w:hideMark/>
          </w:tcPr>
          <w:p w:rsidR="003E03EE" w:rsidRPr="003E03EE" w:rsidRDefault="003E03EE" w:rsidP="003E03EE">
            <w:pPr>
              <w:spacing w:after="0" w:line="240" w:lineRule="auto"/>
              <w:rPr>
                <w:rFonts w:ascii="Times New Roman" w:eastAsia="Times New Roman" w:hAnsi="Times New Roman" w:cs="Times New Roman"/>
                <w:color w:val="505050"/>
                <w:sz w:val="24"/>
                <w:szCs w:val="24"/>
                <w:lang w:eastAsia="en-IN"/>
              </w:rPr>
            </w:pPr>
            <w:r w:rsidRPr="003E03EE">
              <w:rPr>
                <w:rFonts w:ascii="Times New Roman" w:eastAsia="Times New Roman" w:hAnsi="Times New Roman" w:cs="Times New Roman"/>
                <w:color w:val="505050"/>
                <w:sz w:val="24"/>
                <w:szCs w:val="24"/>
                <w:lang w:eastAsia="en-IN"/>
              </w:rPr>
              <w:t> </w:t>
            </w:r>
          </w:p>
        </w:tc>
        <w:tc>
          <w:tcPr>
            <w:tcW w:w="0" w:type="auto"/>
            <w:shd w:val="clear" w:color="auto" w:fill="FFFFFF"/>
            <w:hideMark/>
          </w:tcPr>
          <w:p w:rsidR="003E03EE" w:rsidRPr="003E03EE" w:rsidRDefault="00EE7661" w:rsidP="003E03EE">
            <w:pPr>
              <w:numPr>
                <w:ilvl w:val="0"/>
                <w:numId w:val="6"/>
              </w:numPr>
              <w:spacing w:before="90" w:after="90" w:line="260" w:lineRule="atLeast"/>
              <w:rPr>
                <w:rFonts w:ascii="Times New Roman" w:eastAsia="Times New Roman" w:hAnsi="Times New Roman" w:cs="Times New Roman"/>
                <w:color w:val="505050"/>
                <w:sz w:val="24"/>
                <w:szCs w:val="24"/>
                <w:lang w:eastAsia="en-IN"/>
              </w:rPr>
            </w:pPr>
            <w:hyperlink r:id="rId36" w:anchor="oo5_1" w:history="1">
              <w:r w:rsidR="003E03EE" w:rsidRPr="00D03FFB">
                <w:rPr>
                  <w:rFonts w:ascii="Times New Roman" w:eastAsia="Times New Roman" w:hAnsi="Times New Roman" w:cs="Times New Roman"/>
                  <w:color w:val="337AB7"/>
                  <w:sz w:val="24"/>
                  <w:szCs w:val="24"/>
                  <w:u w:val="single"/>
                  <w:lang w:eastAsia="en-IN"/>
                </w:rPr>
                <w:t>Ratification of the Protocol</w:t>
              </w:r>
            </w:hyperlink>
          </w:p>
          <w:p w:rsidR="003E03EE" w:rsidRPr="003E03EE" w:rsidRDefault="00EE7661" w:rsidP="003E03EE">
            <w:pPr>
              <w:numPr>
                <w:ilvl w:val="0"/>
                <w:numId w:val="6"/>
              </w:numPr>
              <w:spacing w:before="90" w:after="90" w:line="260" w:lineRule="atLeast"/>
              <w:rPr>
                <w:rFonts w:ascii="Times New Roman" w:eastAsia="Times New Roman" w:hAnsi="Times New Roman" w:cs="Times New Roman"/>
                <w:color w:val="505050"/>
                <w:sz w:val="24"/>
                <w:szCs w:val="24"/>
                <w:lang w:eastAsia="en-IN"/>
              </w:rPr>
            </w:pPr>
            <w:hyperlink r:id="rId37" w:anchor="oo5_2" w:history="1">
              <w:r w:rsidR="003E03EE" w:rsidRPr="00D03FFB">
                <w:rPr>
                  <w:rFonts w:ascii="Times New Roman" w:eastAsia="Times New Roman" w:hAnsi="Times New Roman" w:cs="Times New Roman"/>
                  <w:color w:val="337AB7"/>
                  <w:sz w:val="24"/>
                  <w:szCs w:val="24"/>
                  <w:u w:val="single"/>
                  <w:lang w:eastAsia="en-IN"/>
                </w:rPr>
                <w:t>Cooperation</w:t>
              </w:r>
            </w:hyperlink>
          </w:p>
          <w:p w:rsidR="003E03EE" w:rsidRPr="003E03EE" w:rsidRDefault="00EE7661" w:rsidP="003E03EE">
            <w:pPr>
              <w:numPr>
                <w:ilvl w:val="0"/>
                <w:numId w:val="6"/>
              </w:numPr>
              <w:spacing w:before="90" w:after="90" w:line="260" w:lineRule="atLeast"/>
              <w:rPr>
                <w:rFonts w:ascii="Times New Roman" w:eastAsia="Times New Roman" w:hAnsi="Times New Roman" w:cs="Times New Roman"/>
                <w:color w:val="505050"/>
                <w:sz w:val="24"/>
                <w:szCs w:val="24"/>
                <w:lang w:eastAsia="en-IN"/>
              </w:rPr>
            </w:pPr>
            <w:hyperlink r:id="rId38" w:anchor="oo5_3" w:history="1">
              <w:r w:rsidR="003E03EE" w:rsidRPr="00D03FFB">
                <w:rPr>
                  <w:rFonts w:ascii="Times New Roman" w:eastAsia="Times New Roman" w:hAnsi="Times New Roman" w:cs="Times New Roman"/>
                  <w:color w:val="337AB7"/>
                  <w:sz w:val="24"/>
                  <w:szCs w:val="24"/>
                  <w:u w:val="single"/>
                  <w:lang w:eastAsia="en-IN"/>
                </w:rPr>
                <w:t>Communication and outreach</w:t>
              </w:r>
            </w:hyperlink>
          </w:p>
        </w:tc>
      </w:tr>
    </w:tbl>
    <w:p w:rsidR="00723FC7" w:rsidRPr="003E03EE" w:rsidRDefault="00723FC7" w:rsidP="003E03EE">
      <w:pPr>
        <w:jc w:val="both"/>
        <w:rPr>
          <w:rFonts w:ascii="Times New Roman" w:hAnsi="Times New Roman" w:cs="Times New Roman"/>
          <w:sz w:val="28"/>
          <w:szCs w:val="28"/>
        </w:rPr>
      </w:pPr>
    </w:p>
    <w:sectPr w:rsidR="00723FC7" w:rsidRPr="003E0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361"/>
    <w:multiLevelType w:val="multilevel"/>
    <w:tmpl w:val="E44A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3877"/>
    <w:multiLevelType w:val="multilevel"/>
    <w:tmpl w:val="FBCA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02552"/>
    <w:multiLevelType w:val="multilevel"/>
    <w:tmpl w:val="FA64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92729"/>
    <w:multiLevelType w:val="multilevel"/>
    <w:tmpl w:val="21A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AF3D10"/>
    <w:multiLevelType w:val="multilevel"/>
    <w:tmpl w:val="BE9CE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B5AFA"/>
    <w:multiLevelType w:val="multilevel"/>
    <w:tmpl w:val="C6A8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8C7AA6"/>
    <w:multiLevelType w:val="multilevel"/>
    <w:tmpl w:val="28AA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EE0575"/>
    <w:multiLevelType w:val="multilevel"/>
    <w:tmpl w:val="32C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C7B55"/>
    <w:multiLevelType w:val="multilevel"/>
    <w:tmpl w:val="8600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1681C"/>
    <w:multiLevelType w:val="multilevel"/>
    <w:tmpl w:val="76E4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9"/>
  </w:num>
  <w:num w:numId="5">
    <w:abstractNumId w:val="1"/>
  </w:num>
  <w:num w:numId="6">
    <w:abstractNumId w:val="3"/>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4"/>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abstractNumId w:val="0"/>
  </w:num>
  <w:num w:numId="13">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80"/>
    <w:rsid w:val="003E03EE"/>
    <w:rsid w:val="00536A7E"/>
    <w:rsid w:val="00712E40"/>
    <w:rsid w:val="00723FC7"/>
    <w:rsid w:val="007D6CEB"/>
    <w:rsid w:val="00C51B80"/>
    <w:rsid w:val="00D03FFB"/>
    <w:rsid w:val="00EE7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03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03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2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3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03E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E03EE"/>
    <w:rPr>
      <w:color w:val="0000FF"/>
      <w:u w:val="single"/>
    </w:rPr>
  </w:style>
  <w:style w:type="character" w:customStyle="1" w:styleId="Heading3Char">
    <w:name w:val="Heading 3 Char"/>
    <w:basedOn w:val="DefaultParagraphFont"/>
    <w:link w:val="Heading3"/>
    <w:uiPriority w:val="9"/>
    <w:semiHidden/>
    <w:rsid w:val="00712E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2E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1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40"/>
    <w:rPr>
      <w:rFonts w:ascii="Tahoma" w:hAnsi="Tahoma" w:cs="Tahoma"/>
      <w:sz w:val="16"/>
      <w:szCs w:val="16"/>
    </w:rPr>
  </w:style>
  <w:style w:type="character" w:styleId="Emphasis">
    <w:name w:val="Emphasis"/>
    <w:basedOn w:val="DefaultParagraphFont"/>
    <w:uiPriority w:val="20"/>
    <w:qFormat/>
    <w:rsid w:val="00536A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03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E03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2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3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E03E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E03EE"/>
    <w:rPr>
      <w:color w:val="0000FF"/>
      <w:u w:val="single"/>
    </w:rPr>
  </w:style>
  <w:style w:type="character" w:customStyle="1" w:styleId="Heading3Char">
    <w:name w:val="Heading 3 Char"/>
    <w:basedOn w:val="DefaultParagraphFont"/>
    <w:link w:val="Heading3"/>
    <w:uiPriority w:val="9"/>
    <w:semiHidden/>
    <w:rsid w:val="00712E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2E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12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40"/>
    <w:rPr>
      <w:rFonts w:ascii="Tahoma" w:hAnsi="Tahoma" w:cs="Tahoma"/>
      <w:sz w:val="16"/>
      <w:szCs w:val="16"/>
    </w:rPr>
  </w:style>
  <w:style w:type="character" w:styleId="Emphasis">
    <w:name w:val="Emphasis"/>
    <w:basedOn w:val="DefaultParagraphFont"/>
    <w:uiPriority w:val="20"/>
    <w:qFormat/>
    <w:rsid w:val="00536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8413">
      <w:bodyDiv w:val="1"/>
      <w:marLeft w:val="0"/>
      <w:marRight w:val="0"/>
      <w:marTop w:val="0"/>
      <w:marBottom w:val="0"/>
      <w:divBdr>
        <w:top w:val="none" w:sz="0" w:space="0" w:color="auto"/>
        <w:left w:val="none" w:sz="0" w:space="0" w:color="auto"/>
        <w:bottom w:val="none" w:sz="0" w:space="0" w:color="auto"/>
        <w:right w:val="none" w:sz="0" w:space="0" w:color="auto"/>
      </w:divBdr>
      <w:divsChild>
        <w:div w:id="1971859961">
          <w:marLeft w:val="0"/>
          <w:marRight w:val="0"/>
          <w:marTop w:val="0"/>
          <w:marBottom w:val="0"/>
          <w:divBdr>
            <w:top w:val="none" w:sz="0" w:space="0" w:color="auto"/>
            <w:left w:val="none" w:sz="0" w:space="0" w:color="auto"/>
            <w:bottom w:val="none" w:sz="0" w:space="0" w:color="auto"/>
            <w:right w:val="none" w:sz="0" w:space="0" w:color="auto"/>
          </w:divBdr>
          <w:divsChild>
            <w:div w:id="372852147">
              <w:marLeft w:val="0"/>
              <w:marRight w:val="0"/>
              <w:marTop w:val="0"/>
              <w:marBottom w:val="0"/>
              <w:divBdr>
                <w:top w:val="none" w:sz="0" w:space="0" w:color="auto"/>
                <w:left w:val="none" w:sz="0" w:space="0" w:color="auto"/>
                <w:bottom w:val="none" w:sz="0" w:space="0" w:color="auto"/>
                <w:right w:val="none" w:sz="0" w:space="0" w:color="auto"/>
              </w:divBdr>
              <w:divsChild>
                <w:div w:id="3473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5936">
          <w:marLeft w:val="0"/>
          <w:marRight w:val="0"/>
          <w:marTop w:val="0"/>
          <w:marBottom w:val="0"/>
          <w:divBdr>
            <w:top w:val="none" w:sz="0" w:space="0" w:color="auto"/>
            <w:left w:val="none" w:sz="0" w:space="0" w:color="auto"/>
            <w:bottom w:val="none" w:sz="0" w:space="0" w:color="auto"/>
            <w:right w:val="none" w:sz="0" w:space="0" w:color="auto"/>
          </w:divBdr>
          <w:divsChild>
            <w:div w:id="1895895570">
              <w:marLeft w:val="0"/>
              <w:marRight w:val="0"/>
              <w:marTop w:val="0"/>
              <w:marBottom w:val="0"/>
              <w:divBdr>
                <w:top w:val="none" w:sz="0" w:space="0" w:color="auto"/>
                <w:left w:val="none" w:sz="0" w:space="0" w:color="auto"/>
                <w:bottom w:val="none" w:sz="0" w:space="0" w:color="auto"/>
                <w:right w:val="none" w:sz="0" w:space="0" w:color="auto"/>
              </w:divBdr>
              <w:divsChild>
                <w:div w:id="19841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094">
          <w:marLeft w:val="0"/>
          <w:marRight w:val="0"/>
          <w:marTop w:val="0"/>
          <w:marBottom w:val="0"/>
          <w:divBdr>
            <w:top w:val="none" w:sz="0" w:space="0" w:color="auto"/>
            <w:left w:val="none" w:sz="0" w:space="0" w:color="auto"/>
            <w:bottom w:val="none" w:sz="0" w:space="0" w:color="auto"/>
            <w:right w:val="none" w:sz="0" w:space="0" w:color="auto"/>
          </w:divBdr>
          <w:divsChild>
            <w:div w:id="612177200">
              <w:marLeft w:val="0"/>
              <w:marRight w:val="0"/>
              <w:marTop w:val="0"/>
              <w:marBottom w:val="0"/>
              <w:divBdr>
                <w:top w:val="none" w:sz="0" w:space="0" w:color="auto"/>
                <w:left w:val="none" w:sz="0" w:space="0" w:color="auto"/>
                <w:bottom w:val="none" w:sz="0" w:space="0" w:color="auto"/>
                <w:right w:val="none" w:sz="0" w:space="0" w:color="auto"/>
              </w:divBdr>
              <w:divsChild>
                <w:div w:id="11929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1014">
          <w:marLeft w:val="0"/>
          <w:marRight w:val="0"/>
          <w:marTop w:val="0"/>
          <w:marBottom w:val="0"/>
          <w:divBdr>
            <w:top w:val="none" w:sz="0" w:space="0" w:color="auto"/>
            <w:left w:val="none" w:sz="0" w:space="0" w:color="auto"/>
            <w:bottom w:val="none" w:sz="0" w:space="0" w:color="auto"/>
            <w:right w:val="none" w:sz="0" w:space="0" w:color="auto"/>
          </w:divBdr>
          <w:divsChild>
            <w:div w:id="2085685455">
              <w:marLeft w:val="0"/>
              <w:marRight w:val="0"/>
              <w:marTop w:val="0"/>
              <w:marBottom w:val="0"/>
              <w:divBdr>
                <w:top w:val="none" w:sz="0" w:space="0" w:color="auto"/>
                <w:left w:val="none" w:sz="0" w:space="0" w:color="auto"/>
                <w:bottom w:val="none" w:sz="0" w:space="0" w:color="auto"/>
                <w:right w:val="none" w:sz="0" w:space="0" w:color="auto"/>
              </w:divBdr>
              <w:divsChild>
                <w:div w:id="3330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1443">
          <w:marLeft w:val="0"/>
          <w:marRight w:val="0"/>
          <w:marTop w:val="0"/>
          <w:marBottom w:val="0"/>
          <w:divBdr>
            <w:top w:val="none" w:sz="0" w:space="0" w:color="auto"/>
            <w:left w:val="none" w:sz="0" w:space="0" w:color="auto"/>
            <w:bottom w:val="none" w:sz="0" w:space="0" w:color="auto"/>
            <w:right w:val="none" w:sz="0" w:space="0" w:color="auto"/>
          </w:divBdr>
          <w:divsChild>
            <w:div w:id="2123962892">
              <w:marLeft w:val="0"/>
              <w:marRight w:val="0"/>
              <w:marTop w:val="0"/>
              <w:marBottom w:val="0"/>
              <w:divBdr>
                <w:top w:val="none" w:sz="0" w:space="0" w:color="auto"/>
                <w:left w:val="none" w:sz="0" w:space="0" w:color="auto"/>
                <w:bottom w:val="none" w:sz="0" w:space="0" w:color="auto"/>
                <w:right w:val="none" w:sz="0" w:space="0" w:color="auto"/>
              </w:divBdr>
              <w:divsChild>
                <w:div w:id="5616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965">
          <w:marLeft w:val="0"/>
          <w:marRight w:val="0"/>
          <w:marTop w:val="0"/>
          <w:marBottom w:val="0"/>
          <w:divBdr>
            <w:top w:val="none" w:sz="0" w:space="0" w:color="auto"/>
            <w:left w:val="none" w:sz="0" w:space="0" w:color="auto"/>
            <w:bottom w:val="none" w:sz="0" w:space="0" w:color="auto"/>
            <w:right w:val="none" w:sz="0" w:space="0" w:color="auto"/>
          </w:divBdr>
          <w:divsChild>
            <w:div w:id="1598563930">
              <w:marLeft w:val="0"/>
              <w:marRight w:val="0"/>
              <w:marTop w:val="0"/>
              <w:marBottom w:val="0"/>
              <w:divBdr>
                <w:top w:val="none" w:sz="0" w:space="0" w:color="auto"/>
                <w:left w:val="none" w:sz="0" w:space="0" w:color="auto"/>
                <w:bottom w:val="none" w:sz="0" w:space="0" w:color="auto"/>
                <w:right w:val="none" w:sz="0" w:space="0" w:color="auto"/>
              </w:divBdr>
              <w:divsChild>
                <w:div w:id="9567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5704">
          <w:marLeft w:val="0"/>
          <w:marRight w:val="0"/>
          <w:marTop w:val="0"/>
          <w:marBottom w:val="0"/>
          <w:divBdr>
            <w:top w:val="none" w:sz="0" w:space="0" w:color="auto"/>
            <w:left w:val="none" w:sz="0" w:space="0" w:color="auto"/>
            <w:bottom w:val="none" w:sz="0" w:space="0" w:color="auto"/>
            <w:right w:val="none" w:sz="0" w:space="0" w:color="auto"/>
          </w:divBdr>
          <w:divsChild>
            <w:div w:id="1972443918">
              <w:marLeft w:val="0"/>
              <w:marRight w:val="0"/>
              <w:marTop w:val="0"/>
              <w:marBottom w:val="0"/>
              <w:divBdr>
                <w:top w:val="none" w:sz="0" w:space="0" w:color="auto"/>
                <w:left w:val="none" w:sz="0" w:space="0" w:color="auto"/>
                <w:bottom w:val="none" w:sz="0" w:space="0" w:color="auto"/>
                <w:right w:val="none" w:sz="0" w:space="0" w:color="auto"/>
              </w:divBdr>
              <w:divsChild>
                <w:div w:id="8412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5234">
      <w:bodyDiv w:val="1"/>
      <w:marLeft w:val="0"/>
      <w:marRight w:val="0"/>
      <w:marTop w:val="0"/>
      <w:marBottom w:val="0"/>
      <w:divBdr>
        <w:top w:val="none" w:sz="0" w:space="0" w:color="auto"/>
        <w:left w:val="none" w:sz="0" w:space="0" w:color="auto"/>
        <w:bottom w:val="none" w:sz="0" w:space="0" w:color="auto"/>
        <w:right w:val="none" w:sz="0" w:space="0" w:color="auto"/>
      </w:divBdr>
    </w:div>
    <w:div w:id="20310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ch.cbd.int/protocol/issues/cpb_stplan_txt.shtml" TargetMode="External"/><Relationship Id="rId18" Type="http://schemas.openxmlformats.org/officeDocument/2006/relationships/hyperlink" Target="https://bch.cbd.int/protocol/issues/cpb_stplan_txt.shtml" TargetMode="External"/><Relationship Id="rId26" Type="http://schemas.openxmlformats.org/officeDocument/2006/relationships/hyperlink" Target="https://bch.cbd.int/protocol/issues/cpb_stplan_txt.s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bch.cbd.int/protocol/issues/cpb_stplan_txt.shtml" TargetMode="External"/><Relationship Id="rId34" Type="http://schemas.openxmlformats.org/officeDocument/2006/relationships/hyperlink" Target="https://bch.cbd.int/protocol/issues/cpb_stplan_txt.shtml" TargetMode="External"/><Relationship Id="rId7" Type="http://schemas.openxmlformats.org/officeDocument/2006/relationships/hyperlink" Target="https://byjus.com/free-ias-prep/nagoya-protocol/" TargetMode="External"/><Relationship Id="rId12" Type="http://schemas.openxmlformats.org/officeDocument/2006/relationships/hyperlink" Target="https://bch.cbd.int/protocol/issues/cpb_stplan_txt.shtml" TargetMode="External"/><Relationship Id="rId17" Type="http://schemas.openxmlformats.org/officeDocument/2006/relationships/hyperlink" Target="https://bch.cbd.int/protocol/issues/cpb_stplan_txt.shtml" TargetMode="External"/><Relationship Id="rId25" Type="http://schemas.openxmlformats.org/officeDocument/2006/relationships/hyperlink" Target="https://bch.cbd.int/protocol/issues/cpb_stplan_txt.shtml" TargetMode="External"/><Relationship Id="rId33" Type="http://schemas.openxmlformats.org/officeDocument/2006/relationships/hyperlink" Target="https://bch.cbd.int/protocol/issues/cpb_stplan_txt.shtml" TargetMode="External"/><Relationship Id="rId38" Type="http://schemas.openxmlformats.org/officeDocument/2006/relationships/hyperlink" Target="https://bch.cbd.int/protocol/issues/cpb_stplan_txt.shtml" TargetMode="External"/><Relationship Id="rId2" Type="http://schemas.openxmlformats.org/officeDocument/2006/relationships/styles" Target="styles.xml"/><Relationship Id="rId16" Type="http://schemas.openxmlformats.org/officeDocument/2006/relationships/hyperlink" Target="https://bch.cbd.int/protocol/issues/cpb_stplan_txt.shtml" TargetMode="External"/><Relationship Id="rId20" Type="http://schemas.openxmlformats.org/officeDocument/2006/relationships/hyperlink" Target="https://bch.cbd.int/protocol/issues/cpb_stplan_txt.shtml" TargetMode="External"/><Relationship Id="rId29" Type="http://schemas.openxmlformats.org/officeDocument/2006/relationships/hyperlink" Target="https://bch.cbd.int/protocol/issues/cpb_stplan_txt.shtml" TargetMode="External"/><Relationship Id="rId1" Type="http://schemas.openxmlformats.org/officeDocument/2006/relationships/numbering" Target="numbering.xml"/><Relationship Id="rId6" Type="http://schemas.openxmlformats.org/officeDocument/2006/relationships/hyperlink" Target="https://byjus.com/free-ias-prep/uncbd-united-nations-convention-on-biological-diversity/" TargetMode="External"/><Relationship Id="rId11" Type="http://schemas.openxmlformats.org/officeDocument/2006/relationships/hyperlink" Target="https://bch.cbd.int/protocol/issues/cpb_stplan_txt.shtml" TargetMode="External"/><Relationship Id="rId24" Type="http://schemas.openxmlformats.org/officeDocument/2006/relationships/hyperlink" Target="https://bch.cbd.int/protocol/issues/cpb_stplan_txt.shtml" TargetMode="External"/><Relationship Id="rId32" Type="http://schemas.openxmlformats.org/officeDocument/2006/relationships/hyperlink" Target="https://bch.cbd.int/protocol/issues/cpb_stplan_txt.shtml" TargetMode="External"/><Relationship Id="rId37" Type="http://schemas.openxmlformats.org/officeDocument/2006/relationships/hyperlink" Target="https://bch.cbd.int/protocol/issues/cpb_stplan_txt.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ch.cbd.int/protocol/issues/cpb_stplan_txt.shtml" TargetMode="External"/><Relationship Id="rId23" Type="http://schemas.openxmlformats.org/officeDocument/2006/relationships/hyperlink" Target="https://bch.cbd.int/protocol/issues/cpb_stplan_txt.shtml" TargetMode="External"/><Relationship Id="rId28" Type="http://schemas.openxmlformats.org/officeDocument/2006/relationships/hyperlink" Target="https://bch.cbd.int/protocol/issues/cpb_stplan_txt.shtml" TargetMode="External"/><Relationship Id="rId36" Type="http://schemas.openxmlformats.org/officeDocument/2006/relationships/hyperlink" Target="https://bch.cbd.int/protocol/issues/cpb_stplan_txt.shtml" TargetMode="External"/><Relationship Id="rId10" Type="http://schemas.openxmlformats.org/officeDocument/2006/relationships/hyperlink" Target="https://bch.cbd.int/protocol/issues/cpb_stplan_txt.shtml" TargetMode="External"/><Relationship Id="rId19" Type="http://schemas.openxmlformats.org/officeDocument/2006/relationships/hyperlink" Target="https://bch.cbd.int/protocol/issues/cpb_stplan_txt.shtml" TargetMode="External"/><Relationship Id="rId31" Type="http://schemas.openxmlformats.org/officeDocument/2006/relationships/hyperlink" Target="https://bch.cbd.int/protocol/issues/cpb_stplan_txt.shtml" TargetMode="External"/><Relationship Id="rId4" Type="http://schemas.openxmlformats.org/officeDocument/2006/relationships/settings" Target="settings.xml"/><Relationship Id="rId9" Type="http://schemas.openxmlformats.org/officeDocument/2006/relationships/hyperlink" Target="https://bch.cbd.int/protocol/issues/cpb_stplan_txt.shtml" TargetMode="External"/><Relationship Id="rId14" Type="http://schemas.openxmlformats.org/officeDocument/2006/relationships/hyperlink" Target="https://bch.cbd.int/protocol/issues/cpb_stplan_txt.shtml" TargetMode="External"/><Relationship Id="rId22" Type="http://schemas.openxmlformats.org/officeDocument/2006/relationships/hyperlink" Target="https://bch.cbd.int/protocol/issues/cpb_stplan_txt.shtml" TargetMode="External"/><Relationship Id="rId27" Type="http://schemas.openxmlformats.org/officeDocument/2006/relationships/hyperlink" Target="https://bch.cbd.int/protocol/issues/cpb_stplan_txt.shtml" TargetMode="External"/><Relationship Id="rId30" Type="http://schemas.openxmlformats.org/officeDocument/2006/relationships/hyperlink" Target="https://bch.cbd.int/protocol/issues/cpb_stplan_txt.shtml" TargetMode="External"/><Relationship Id="rId35" Type="http://schemas.openxmlformats.org/officeDocument/2006/relationships/hyperlink" Target="https://bch.cbd.int/protocol/issues/cpb_stplan_tx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trilokchandran b</dc:creator>
  <cp:keywords/>
  <dc:description/>
  <cp:lastModifiedBy>trilokchandran b</cp:lastModifiedBy>
  <cp:revision>5</cp:revision>
  <dcterms:created xsi:type="dcterms:W3CDTF">2024-01-21T17:56:00Z</dcterms:created>
  <dcterms:modified xsi:type="dcterms:W3CDTF">2024-01-21T18:49:00Z</dcterms:modified>
</cp:coreProperties>
</file>