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2: Relations and Functions
F. Exam Strategy Notes</w:t>
      </w:r>
    </w:p>
    <w:p w14:paraId="2B21A6D9" w14:textId="77777777" w:rsidR="00761F49" w:rsidRPr="00FB71ED" w:rsidRDefault="008670AF" w:rsidP="00C72F9D">
      <w:pPr>
        <w:numPr>
          <w:ilvl w:val="0"/>
          <w:numId w:val="26"/>
        </w:numPr>
        <w:rPr>
          <w:b/>
          <w:bCs/>
        </w:rPr>
      </w:pPr>
      <w:r w:rsidRPr="00FB71ED">
        <w:rPr>
          <w:b/>
          <w:bCs/>
        </w:rPr>
        <w:t>Domain &amp; Range:</w:t>
      </w:r>
    </w:p>
    <w:p w14:paraId="450A9358" w14:textId="77777777" w:rsidR="00761F49" w:rsidRDefault="008670AF" w:rsidP="00C72F9D">
      <w:pPr>
        <w:numPr>
          <w:ilvl w:val="0"/>
          <w:numId w:val="27"/>
        </w:numPr>
      </w:pPr>
      <w:r>
        <w:t xml:space="preserve">Square Roots: Set the term inside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>.</w:t>
      </w:r>
    </w:p>
    <w:p w14:paraId="128D5128" w14:textId="3172DBDB" w:rsidR="00000EFE" w:rsidRDefault="00000EFE" w:rsidP="00000EFE">
      <w:pPr>
        <w:ind w:left="360"/>
      </w:pPr>
      <w:r w:rsidRPr="00000EFE">
        <w:rPr>
          <w:b/>
          <w:bCs/>
          <w:highlight w:val="green"/>
        </w:rPr>
        <w:t>Mentor insight:</w:t>
      </w:r>
      <w:r w:rsidRPr="00000EFE">
        <w:rPr>
          <w:highlight w:val="green"/>
        </w:rPr>
        <w:t xml:space="preserve"> Equating the terms inside a square root to being  </w:t>
      </w:r>
      <m:oMath>
        <m:r>
          <m:rPr>
            <m:sty m:val="p"/>
          </m:rPr>
          <w:rPr>
            <w:rFonts w:ascii="Cambria Math" w:hAnsi="Cambria Math"/>
            <w:highlight w:val="green"/>
          </w:rPr>
          <m:t>≥0</m:t>
        </m:r>
      </m:oMath>
      <w:r w:rsidRPr="00000EFE">
        <w:rPr>
          <w:rFonts w:eastAsiaTheme="minorEastAsia"/>
          <w:highlight w:val="green"/>
        </w:rPr>
        <w:t xml:space="preserve"> should always be the first condition you apply while finding a functions domain.</w:t>
      </w:r>
    </w:p>
    <w:p w14:paraId="41C37FDE" w14:textId="77777777" w:rsidR="00761F49" w:rsidRDefault="008670AF" w:rsidP="00C72F9D">
      <w:pPr>
        <w:numPr>
          <w:ilvl w:val="0"/>
          <w:numId w:val="27"/>
        </w:numPr>
      </w:pPr>
      <w:r>
        <w:t xml:space="preserve">Denominators: Set the denominator </w:t>
      </w:r>
      <m:oMath>
        <m:r>
          <m:rPr>
            <m:sty m:val="p"/>
          </m:rPr>
          <w:rPr>
            <w:rFonts w:ascii="Cambria Math" w:hAnsi="Cambria Math"/>
          </w:rPr>
          <m:t>≠0</m:t>
        </m:r>
      </m:oMath>
      <w:r>
        <w:t>.</w:t>
      </w:r>
    </w:p>
    <w:p w14:paraId="040D4CE1" w14:textId="77777777" w:rsidR="00761F49" w:rsidRDefault="008670AF" w:rsidP="00C72F9D">
      <w:pPr>
        <w:numPr>
          <w:ilvl w:val="0"/>
          <w:numId w:val="27"/>
        </w:numPr>
      </w:pPr>
      <w:r>
        <w:t>Combination: Intersection of all conditions.</w:t>
      </w:r>
    </w:p>
    <w:p w14:paraId="0D4B166E" w14:textId="77777777" w:rsidR="00761F49" w:rsidRPr="00FB71ED" w:rsidRDefault="008670AF" w:rsidP="00C72F9D">
      <w:pPr>
        <w:numPr>
          <w:ilvl w:val="0"/>
          <w:numId w:val="28"/>
        </w:numPr>
        <w:rPr>
          <w:b/>
          <w:bCs/>
        </w:rPr>
      </w:pPr>
      <w:r w:rsidRPr="00FB71ED">
        <w:rPr>
          <w:b/>
          <w:bCs/>
        </w:rPr>
        <w:t>Writing Answers:</w:t>
      </w:r>
    </w:p>
    <w:p w14:paraId="14A82067" w14:textId="77777777" w:rsidR="00761F49" w:rsidRDefault="008670AF" w:rsidP="00C72F9D">
      <w:pPr>
        <w:numPr>
          <w:ilvl w:val="0"/>
          <w:numId w:val="29"/>
        </w:numPr>
      </w:pPr>
      <w:r>
        <w:t xml:space="preserve">Always use Interval Notation: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for closed,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open.</w:t>
      </w:r>
    </w:p>
    <w:p w14:paraId="10EFC9DE" w14:textId="77777777" w:rsidR="00761F49" w:rsidRDefault="008670AF" w:rsidP="00C72F9D">
      <w:pPr>
        <w:numPr>
          <w:ilvl w:val="0"/>
          <w:numId w:val="29"/>
        </w:numPr>
      </w:pPr>
      <w:r>
        <w:t>Verify your range by plugging in the min/max domain values.</w:t>
      </w:r>
    </w:p>
    <w:p w14:paraId="5A1FF0D6" w14:textId="77777777" w:rsidR="00761F49" w:rsidRPr="00FB71ED" w:rsidRDefault="008670AF" w:rsidP="00C72F9D">
      <w:pPr>
        <w:numPr>
          <w:ilvl w:val="0"/>
          <w:numId w:val="30"/>
        </w:numPr>
        <w:rPr>
          <w:b/>
          <w:bCs/>
        </w:rPr>
      </w:pPr>
      <w:r w:rsidRPr="00FB71ED">
        <w:rPr>
          <w:b/>
          <w:bCs/>
        </w:rPr>
        <w:t>Graphing:</w:t>
      </w:r>
    </w:p>
    <w:p w14:paraId="16671B82" w14:textId="77777777" w:rsidR="00761F49" w:rsidRDefault="008670AF" w:rsidP="00C72F9D">
      <w:pPr>
        <w:numPr>
          <w:ilvl w:val="0"/>
          <w:numId w:val="31"/>
        </w:numPr>
      </w:pPr>
      <w:r>
        <w:t xml:space="preserve">When asked to sketch, plot at least 3 critical points (e.g.,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=-1,0,1</m:t>
        </m:r>
      </m:oMath>
      <w:r>
        <w:t xml:space="preserve"> ).</w:t>
      </w:r>
    </w:p>
    <w:p w14:paraId="0C9714EF" w14:textId="77777777" w:rsidR="00761F49" w:rsidRDefault="008670AF" w:rsidP="00C72F9D">
      <w:pPr>
        <w:numPr>
          <w:ilvl w:val="0"/>
          <w:numId w:val="31"/>
        </w:numPr>
      </w:pPr>
      <w:r>
        <w:t>Label axes clearly.</w:t>
      </w:r>
    </w:p>
    <w:p w14:paraId="1B0ACBF9" w14:textId="77777777" w:rsidR="00761F49" w:rsidRDefault="008670AF" w:rsidP="00C72F9D">
      <w:pPr>
        <w:numPr>
          <w:ilvl w:val="0"/>
          <w:numId w:val="32"/>
        </w:numPr>
      </w:pPr>
      <w:r w:rsidRPr="00FB71ED">
        <w:rPr>
          <w:b/>
          <w:bCs/>
        </w:rPr>
        <w:t>Common Mistake</w:t>
      </w:r>
      <w:r>
        <w:t>:</w:t>
      </w:r>
    </w:p>
    <w:p w14:paraId="083FDD50" w14:textId="77777777" w:rsidR="00761F49" w:rsidRDefault="008670AF" w:rsidP="00C72F9D">
      <w:pPr>
        <w:numPr>
          <w:ilvl w:val="0"/>
          <w:numId w:val="33"/>
        </w:numPr>
      </w:pPr>
      <w:r>
        <w:t xml:space="preserve">Confusing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(GIF) with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(Modulus).</w:t>
      </w:r>
    </w:p>
    <w:p w14:paraId="4157A1C0" w14:textId="11A6E201" w:rsidR="00000EFE" w:rsidRDefault="00000EFE" w:rsidP="00000EFE">
      <w:pPr>
        <w:ind w:left="360"/>
      </w:pPr>
      <w:r w:rsidRPr="00000EFE">
        <w:rPr>
          <w:b/>
          <w:bCs/>
          <w:highlight w:val="green"/>
        </w:rPr>
        <w:t>Mentor insight:</w:t>
      </w:r>
      <w:r w:rsidRPr="00000EFE">
        <w:rPr>
          <w:highlight w:val="green"/>
        </w:rPr>
        <w:t xml:space="preserve"> It comes in handy to remember the normal and GIF graphs of sin, cos, tan, cot, cosec and </w:t>
      </w:r>
      <w:proofErr w:type="spellStart"/>
      <w:r w:rsidRPr="00000EFE">
        <w:rPr>
          <w:highlight w:val="green"/>
        </w:rPr>
        <w:t>secx</w:t>
      </w:r>
      <w:proofErr w:type="spellEnd"/>
      <w:r w:rsidRPr="00000EFE">
        <w:rPr>
          <w:highlight w:val="green"/>
        </w:rPr>
        <w:t>. Domain and range can be easily calculated using these graphs.</w:t>
      </w:r>
    </w:p>
    <w:p w14:paraId="1519EEFA" w14:textId="77777777" w:rsidR="00FB71ED" w:rsidRDefault="008670AF" w:rsidP="00C72F9D">
      <w:pPr>
        <w:numPr>
          <w:ilvl w:val="0"/>
          <w:numId w:val="33"/>
        </w:numPr>
      </w:pPr>
      <w:r>
        <w:t xml:space="preserve">Forgetting that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not just </w:t>
      </w:r>
      <m:oMath>
        <m:r>
          <w:rPr>
            <w:rFonts w:ascii="Cambria Math" w:hAnsi="Cambria Math"/>
          </w:rPr>
          <m:t>x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