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4C3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6CB77C85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Entity:</w:t>
      </w:r>
      <w:r w:rsidRPr="0025159C">
        <w:t> A reality that has a definite individual existence; in accounting, specifically a business enterprise. </w:t>
      </w:r>
      <w:r w:rsidRPr="0025159C">
        <w:rPr>
          <w:i/>
          <w:iCs/>
        </w:rPr>
        <w:t>Board examiners expect exact phrasing here.</w:t>
      </w:r>
    </w:p>
    <w:p w14:paraId="3FCD6F14" w14:textId="042A4DF9" w:rsidR="00EE5F2B" w:rsidRPr="0025159C" w:rsidRDefault="0025159C" w:rsidP="009E06A7">
      <w:pPr>
        <w:numPr>
          <w:ilvl w:val="0"/>
          <w:numId w:val="5"/>
        </w:numPr>
      </w:pPr>
      <w:r w:rsidRPr="0025159C">
        <w:rPr>
          <w:b/>
          <w:bCs/>
        </w:rPr>
        <w:t>Transaction:</w:t>
      </w:r>
      <w:r w:rsidRPr="0025159C">
        <w:t> An economic event that changes the financial position of a business and can be measured in money.</w:t>
      </w:r>
    </w:p>
    <w:p w14:paraId="2E838373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lastRenderedPageBreak/>
        <w:t>Assets:</w:t>
      </w:r>
      <w:r w:rsidRPr="0025159C">
        <w:t> Economic resources owned by a business that are expected to provide future benefits (e.g., Machinery, Cash).</w:t>
      </w:r>
    </w:p>
    <w:p w14:paraId="06569910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Liabilities:</w:t>
      </w:r>
      <w:r w:rsidRPr="0025159C">
        <w:t> Debts or obligations a business owes to outsiders (e.g., Bank Loan, Creditors).</w:t>
      </w:r>
    </w:p>
    <w:p w14:paraId="433ABCD3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Capital:</w:t>
      </w:r>
      <w:r w:rsidRPr="0025159C">
        <w:t> The owner's claim on the assets of the business; Assets - Liabilities = Capital.</w:t>
      </w:r>
    </w:p>
    <w:p w14:paraId="3F6AC577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Revenue:</w:t>
      </w:r>
      <w:r w:rsidRPr="0025159C">
        <w:t> The gross inflow of cash/receivables arising from ordinary business activities like sales of goods.</w:t>
      </w:r>
    </w:p>
    <w:p w14:paraId="7E2645C3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Accrual:</w:t>
      </w:r>
      <w:r w:rsidRPr="0025159C">
        <w:t> Recognition of revenues and costs as they are earned or incurred, not as money is received or paid.</w:t>
      </w:r>
    </w:p>
    <w:p w14:paraId="1D4F3A62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Double Entry System:</w:t>
      </w:r>
      <w:r w:rsidRPr="0025159C">
        <w:t> The system where every transaction affects at least two accounts in opposite directions to keep the accounting equation balanced.</w:t>
      </w:r>
    </w:p>
    <w:p w14:paraId="037F94DA" w14:textId="77777777" w:rsidR="0025159C" w:rsidRPr="0025159C" w:rsidRDefault="0025159C" w:rsidP="0025159C">
      <w:pPr>
        <w:numPr>
          <w:ilvl w:val="0"/>
          <w:numId w:val="5"/>
        </w:numPr>
      </w:pPr>
      <w:r w:rsidRPr="0025159C">
        <w:rPr>
          <w:b/>
          <w:bCs/>
        </w:rPr>
        <w:t>Accounting Standards (AS):</w:t>
      </w:r>
      <w:r w:rsidRPr="0025159C">
        <w:t> Written policy documents issued by expert accounting bodies to standardize accounting treatment.</w:t>
      </w:r>
    </w:p>
    <w:p w14:paraId="507E1B1A" w14:textId="77777777" w:rsidR="0025159C" w:rsidRPr="0025159C" w:rsidRDefault="00000000" w:rsidP="0025159C">
      <w:r>
        <w:rPr>
          <w:noProof/>
        </w:rPr>
        <w:pict w14:anchorId="3399E3B0">
          <v:rect id="_x0000_i1029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