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A5C9" w14:textId="77777777" w:rsidR="0025159C" w:rsidRPr="0025159C" w:rsidRDefault="0025159C" w:rsidP="0025159C">
      <w:pPr>
        <w:rPr>
          <w:b/>
          <w:bCs/>
        </w:rPr>
      </w:pPr>
      <w:r w:rsidRPr="0025159C">
        <w:rPr>
          <w:b/>
          <w:bCs/>
        </w:rPr>
        <w:t>A. Unit Information &amp; Concept Map</w:t>
      </w:r>
    </w:p>
    <w:p w14:paraId="65D5117E" w14:textId="77777777" w:rsidR="0025159C" w:rsidRPr="0025159C" w:rsidRDefault="0025159C" w:rsidP="0025159C">
      <w:pPr>
        <w:numPr>
          <w:ilvl w:val="0"/>
          <w:numId w:val="122"/>
        </w:numPr>
      </w:pPr>
      <w:r w:rsidRPr="0025159C">
        <w:rPr>
          <w:b/>
          <w:bCs/>
        </w:rPr>
        <w:t>Unit 2 (Module B):</w:t>
      </w:r>
      <w:r w:rsidRPr="0025159C">
        <w:t> Accounting for Debentures</w:t>
      </w:r>
    </w:p>
    <w:p w14:paraId="3A0D0A2E" w14:textId="77777777" w:rsidR="0025159C" w:rsidRPr="0025159C" w:rsidRDefault="0025159C" w:rsidP="0025159C">
      <w:pPr>
        <w:numPr>
          <w:ilvl w:val="0"/>
          <w:numId w:val="122"/>
        </w:numPr>
      </w:pPr>
      <w:r w:rsidRPr="0025159C">
        <w:rPr>
          <w:b/>
          <w:bCs/>
        </w:rPr>
        <w:t>Topics Covered:</w:t>
      </w:r>
      <w:r w:rsidRPr="0025159C">
        <w:t> Meaning and Types of Debentures, Issue of Debentures (at Par, Premium, Discount), Issue for Consideration other than Cash, Issue as Collateral Security, Terms of Redemption (the "Six Cases"), Interest on Debentures, and Writing off Discount/Loss on Issue.</w:t>
      </w:r>
    </w:p>
    <w:p w14:paraId="214C66C5" w14:textId="77777777" w:rsidR="0025159C" w:rsidRPr="0025159C" w:rsidRDefault="0025159C" w:rsidP="0025159C">
      <w:pPr>
        <w:rPr>
          <w:b/>
          <w:bCs/>
        </w:rPr>
      </w:pPr>
      <w:r w:rsidRPr="0025159C">
        <w:rPr>
          <w:b/>
          <w:bCs/>
        </w:rPr>
        <w:t>Summary</w:t>
      </w:r>
    </w:p>
    <w:p w14:paraId="0B0F682A" w14:textId="77777777" w:rsidR="0025159C" w:rsidRPr="0025159C" w:rsidRDefault="0025159C" w:rsidP="0025159C">
      <w:r w:rsidRPr="0025159C">
        <w:t>A </w:t>
      </w:r>
      <w:r w:rsidRPr="0025159C">
        <w:rPr>
          <w:b/>
          <w:bCs/>
        </w:rPr>
        <w:t>Debenture</w:t>
      </w:r>
      <w:r w:rsidRPr="0025159C">
        <w:t> is a written acknowledgement of debt issued by a company under its common seal, usually containing provisions as to payment of interest and repayment of principal. Think of it as a formalized long-term loan from the public. Debenture holders are </w:t>
      </w:r>
      <w:r w:rsidRPr="0025159C">
        <w:rPr>
          <w:b/>
          <w:bCs/>
        </w:rPr>
        <w:t>creditors</w:t>
      </w:r>
      <w:r w:rsidRPr="0025159C">
        <w:t>, not owners. They get a fixed rate of interest (called </w:t>
      </w:r>
      <w:r w:rsidRPr="0025159C">
        <w:rPr>
          <w:b/>
          <w:bCs/>
        </w:rPr>
        <w:t>Coupon Rate</w:t>
      </w:r>
      <w:r w:rsidRPr="0025159C">
        <w:t>, e.g., 9% Debentures), regardless of whether the company makes a profit or loss. Debentures can be issued just like shares—at par, premium, or even at a </w:t>
      </w:r>
      <w:r w:rsidRPr="0025159C">
        <w:rPr>
          <w:b/>
          <w:bCs/>
        </w:rPr>
        <w:t>discount</w:t>
      </w:r>
      <w:r w:rsidRPr="0025159C">
        <w:t> (unlike shares). A critical exam topic is </w:t>
      </w:r>
      <w:r w:rsidRPr="0025159C">
        <w:rPr>
          <w:b/>
          <w:bCs/>
        </w:rPr>
        <w:t>Issue with Terms of Redemption</w:t>
      </w:r>
      <w:r w:rsidRPr="0025159C">
        <w:t xml:space="preserve">. We must record the future liability of </w:t>
      </w:r>
      <w:r w:rsidRPr="0025159C">
        <w:lastRenderedPageBreak/>
        <w:t>paying a premium on redemption </w:t>
      </w:r>
      <w:r w:rsidRPr="0025159C">
        <w:rPr>
          <w:i/>
          <w:iCs/>
        </w:rPr>
        <w:t>today</w:t>
      </w:r>
      <w:r w:rsidRPr="0025159C">
        <w:t> based on the Prudence concept. This gives rise to the famous "Six Cases" of journal entries. Sometimes, debentures are issued not for cash, but to buy assets (vendors) or as a secondary security for a bank loan (</w:t>
      </w:r>
      <w:r w:rsidRPr="0025159C">
        <w:rPr>
          <w:b/>
          <w:bCs/>
        </w:rPr>
        <w:t>Collateral Security</w:t>
      </w:r>
      <w:r w:rsidRPr="0025159C">
        <w:t>). Finally, any </w:t>
      </w:r>
      <w:r w:rsidRPr="0025159C">
        <w:rPr>
          <w:b/>
          <w:bCs/>
        </w:rPr>
        <w:t>Discount or Loss on Issue</w:t>
      </w:r>
      <w:r w:rsidRPr="0025159C">
        <w:t> is a capital loss and must be written off, first from Securities Premium Reserve, then from Statement of Profit &amp; Loss.</w:t>
      </w:r>
    </w:p>
    <w:p w14:paraId="691BC981" w14:textId="77777777" w:rsidR="0025159C" w:rsidRPr="0025159C" w:rsidRDefault="0025159C" w:rsidP="0025159C">
      <w:pPr>
        <w:rPr>
          <w:b/>
          <w:bCs/>
        </w:rPr>
      </w:pPr>
      <w:r w:rsidRPr="0025159C">
        <w:rPr>
          <w:b/>
          <w:bCs/>
        </w:rPr>
        <w:t>Concept Map</w:t>
      </w:r>
    </w:p>
    <w:p w14:paraId="41CC7753" w14:textId="77777777" w:rsidR="007711B5" w:rsidRPr="007711B5" w:rsidRDefault="007711B5" w:rsidP="007711B5">
      <w:pPr>
        <w:shd w:val="clear" w:color="auto" w:fill="F0F4F9"/>
        <w:spacing w:after="30" w:line="300" w:lineRule="atLeast"/>
        <w:rPr>
          <w:rFonts w:ascii="Arial" w:eastAsia="Times New Roman" w:hAnsi="Arial" w:cs="Arial"/>
          <w:color w:val="444746"/>
          <w:sz w:val="21"/>
          <w:szCs w:val="21"/>
        </w:rPr>
      </w:pPr>
      <w:r w:rsidRPr="007711B5">
        <w:rPr>
          <w:rFonts w:ascii="Arial" w:eastAsia="Times New Roman" w:hAnsi="Arial" w:cs="Arial"/>
          <w:color w:val="444746"/>
          <w:sz w:val="21"/>
          <w:szCs w:val="21"/>
        </w:rPr>
        <w:t>Plaintext</w:t>
      </w:r>
    </w:p>
    <w:p w14:paraId="5C0A8D9B"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Issue of Debentures (Loan taken by Company)</w:t>
      </w:r>
    </w:p>
    <w:p w14:paraId="1BE7671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176A0FB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1. Methods of Issue</w:t>
      </w:r>
    </w:p>
    <w:p w14:paraId="5AEA4BE1"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For Cash (Par, Premium, Discount)</w:t>
      </w:r>
    </w:p>
    <w:p w14:paraId="696DD37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For Consideration other than Cash (To Vendors for assets)</w:t>
      </w:r>
    </w:p>
    <w:p w14:paraId="3557AA65"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As Collateral Security (Secondary security for loan)</w:t>
      </w:r>
    </w:p>
    <w:p w14:paraId="7F30B6CF"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0AE2266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2. Terms of Redemption (Crucial Topic)</w:t>
      </w:r>
    </w:p>
    <w:p w14:paraId="20E7F2FE"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The "Six Cases" -&gt; Future loss on redemption (Premium)</w:t>
      </w:r>
    </w:p>
    <w:p w14:paraId="7D61CF3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recorded NOW as 'Loss on Issue of Debentures'.</w:t>
      </w:r>
    </w:p>
    <w:p w14:paraId="2C58569D"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53FF9DD3"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3. Service Cost</w:t>
      </w:r>
    </w:p>
    <w:p w14:paraId="10568ADC"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 Interest on Debentures (Charge against Profit)</w:t>
      </w:r>
    </w:p>
    <w:p w14:paraId="6319E04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w:t>
      </w:r>
    </w:p>
    <w:p w14:paraId="72BDF322"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4. Year-End Adjustment</w:t>
      </w:r>
    </w:p>
    <w:p w14:paraId="7C255C6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Writing off 'Discount/Loss on Issue'</w:t>
      </w:r>
    </w:p>
    <w:p w14:paraId="4056E1C4"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711B5">
        <w:rPr>
          <w:rFonts w:ascii="Courier New" w:eastAsia="Times New Roman" w:hAnsi="Courier New" w:cs="Courier New"/>
          <w:color w:val="444746"/>
          <w:sz w:val="20"/>
          <w:szCs w:val="20"/>
        </w:rPr>
        <w:t xml:space="preserve">        ├── First from Securities Premium Reserve</w:t>
      </w:r>
    </w:p>
    <w:p w14:paraId="601FE9E7" w14:textId="77777777" w:rsidR="007711B5" w:rsidRPr="007711B5" w:rsidRDefault="007711B5" w:rsidP="007711B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711B5">
        <w:rPr>
          <w:rFonts w:ascii="Courier New" w:eastAsia="Times New Roman" w:hAnsi="Courier New" w:cs="Courier New"/>
          <w:color w:val="444746"/>
          <w:sz w:val="20"/>
          <w:szCs w:val="20"/>
        </w:rPr>
        <w:t xml:space="preserve">        └── Then from Statement of P&amp;L</w:t>
      </w:r>
    </w:p>
    <w:p w14:paraId="68103EEC" w14:textId="77777777" w:rsidR="0025159C" w:rsidRPr="0025159C" w:rsidRDefault="0025159C" w:rsidP="0025159C">
      <w:r w:rsidRPr="0025159C">
        <w:rPr>
          <w:i/>
          <w:iCs/>
        </w:rPr>
        <w:t>Notice: The 'Loss on Issue' account handles TWO things: current discount given AND future premium promised. Both are losses recognized at the time of issue.</w:t>
      </w:r>
    </w:p>
    <w:p w14:paraId="524AE210" w14:textId="77777777" w:rsidR="0025159C" w:rsidRPr="0025159C" w:rsidRDefault="00000000" w:rsidP="0025159C">
      <w:r>
        <w:rPr>
          <w:noProof/>
        </w:rPr>
        <w:pict w14:anchorId="794B7248">
          <v:rect id="_x0000_i1105"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