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3DF15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D. Key Terms and Keywords</w:t>
      </w:r>
    </w:p>
    <w:p w14:paraId="222229F5" w14:textId="77777777" w:rsidR="0025159C" w:rsidRPr="0025159C" w:rsidRDefault="0025159C" w:rsidP="0025159C">
      <w:pPr>
        <w:numPr>
          <w:ilvl w:val="0"/>
          <w:numId w:val="126"/>
        </w:numPr>
      </w:pPr>
      <w:r w:rsidRPr="0025159C">
        <w:rPr>
          <w:b/>
          <w:bCs/>
        </w:rPr>
        <w:t>Charge:</w:t>
      </w:r>
      <w:r w:rsidRPr="0025159C">
        <w:t> A right created over the assets of a company to secure the repayment of loan/debentures. Fixed Charge (specific asset) vs. Floating Charge (general assets).</w:t>
      </w:r>
    </w:p>
    <w:p w14:paraId="13B06344" w14:textId="77777777" w:rsidR="0025159C" w:rsidRPr="0025159C" w:rsidRDefault="0025159C" w:rsidP="0025159C">
      <w:pPr>
        <w:numPr>
          <w:ilvl w:val="0"/>
          <w:numId w:val="126"/>
        </w:numPr>
      </w:pPr>
      <w:r w:rsidRPr="0025159C">
        <w:rPr>
          <w:b/>
          <w:bCs/>
        </w:rPr>
        <w:t>Collateral Security:</w:t>
      </w:r>
      <w:r w:rsidRPr="0025159C">
        <w:t> Secondary security given to a lender in addition to the primary security.</w:t>
      </w:r>
    </w:p>
    <w:p w14:paraId="70DCD136" w14:textId="77777777" w:rsidR="0025159C" w:rsidRPr="0025159C" w:rsidRDefault="0025159C" w:rsidP="0025159C">
      <w:pPr>
        <w:numPr>
          <w:ilvl w:val="0"/>
          <w:numId w:val="126"/>
        </w:numPr>
      </w:pPr>
      <w:r w:rsidRPr="0025159C">
        <w:rPr>
          <w:b/>
          <w:bCs/>
        </w:rPr>
        <w:lastRenderedPageBreak/>
        <w:t>Premium on Redemption:</w:t>
      </w:r>
      <w:r w:rsidRPr="0025159C">
        <w:t> The extra amount permitted by the company to be paid to debenture holders at the time of maturity. It is a liability.</w:t>
      </w:r>
    </w:p>
    <w:p w14:paraId="6252F695" w14:textId="77777777" w:rsidR="0025159C" w:rsidRPr="0025159C" w:rsidRDefault="0025159C" w:rsidP="0025159C">
      <w:pPr>
        <w:numPr>
          <w:ilvl w:val="0"/>
          <w:numId w:val="126"/>
        </w:numPr>
      </w:pPr>
      <w:r w:rsidRPr="0025159C">
        <w:rPr>
          <w:b/>
          <w:bCs/>
        </w:rPr>
        <w:t>Loss on Issue of Debentures:</w:t>
      </w:r>
      <w:r w:rsidRPr="0025159C">
        <w:t> An account that includes both discount allowed on issue AND premium payable on redemption.</w:t>
      </w:r>
    </w:p>
    <w:p w14:paraId="23CA969C" w14:textId="77777777" w:rsidR="0025159C" w:rsidRPr="0025159C" w:rsidRDefault="0025159C" w:rsidP="0025159C">
      <w:pPr>
        <w:numPr>
          <w:ilvl w:val="0"/>
          <w:numId w:val="126"/>
        </w:numPr>
      </w:pPr>
      <w:r w:rsidRPr="0025159C">
        <w:rPr>
          <w:b/>
          <w:bCs/>
        </w:rPr>
        <w:t>Coupon Rate:</w:t>
      </w:r>
      <w:r w:rsidRPr="0025159C">
        <w:t> The specified interest rate attached to the debenture.</w:t>
      </w:r>
    </w:p>
    <w:p w14:paraId="2E00A867" w14:textId="77777777" w:rsidR="0025159C" w:rsidRPr="0025159C" w:rsidRDefault="00000000" w:rsidP="0025159C">
      <w:r>
        <w:rPr>
          <w:noProof/>
        </w:rPr>
        <w:pict w14:anchorId="796C1E33">
          <v:rect id="_x0000_i1108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