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04186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A. Unit Information &amp; Concept Map</w:t>
      </w:r>
    </w:p>
    <w:p w14:paraId="0D4E7C89" w14:textId="77777777" w:rsidR="0025159C" w:rsidRPr="0025159C" w:rsidRDefault="0025159C" w:rsidP="0025159C">
      <w:pPr>
        <w:numPr>
          <w:ilvl w:val="0"/>
          <w:numId w:val="132"/>
        </w:numPr>
      </w:pPr>
      <w:r w:rsidRPr="0025159C">
        <w:rPr>
          <w:b/>
          <w:bCs/>
        </w:rPr>
        <w:t>Part B - Unit 3:</w:t>
      </w:r>
      <w:r w:rsidRPr="0025159C">
        <w:t> Analysis of Financial Statements</w:t>
      </w:r>
    </w:p>
    <w:p w14:paraId="170C58DB" w14:textId="77777777" w:rsidR="0025159C" w:rsidRPr="0025159C" w:rsidRDefault="0025159C" w:rsidP="0025159C">
      <w:pPr>
        <w:numPr>
          <w:ilvl w:val="0"/>
          <w:numId w:val="132"/>
        </w:numPr>
      </w:pPr>
      <w:r w:rsidRPr="0025159C">
        <w:rPr>
          <w:b/>
          <w:bCs/>
        </w:rPr>
        <w:t>Topics Covered:</w:t>
      </w:r>
      <w:r w:rsidRPr="0025159C">
        <w:t> Financial Statements of a Company (Schedule III Format), Techniques of Analysis (Comparative &amp; Common Size Statements), and Accounting Ratios (Liquidity, Solvency, Activity, Profitability).</w:t>
      </w:r>
    </w:p>
    <w:p w14:paraId="4FB98F2B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Summary</w:t>
      </w:r>
    </w:p>
    <w:p w14:paraId="1CB634A6" w14:textId="77777777" w:rsidR="0025159C" w:rsidRPr="0025159C" w:rsidRDefault="0025159C" w:rsidP="0025159C">
      <w:r w:rsidRPr="0025159C">
        <w:t>First, we must understand the rigid format of a Company's Balance Sheet and Statement of Profit &amp; Loss as prescribed by </w:t>
      </w:r>
      <w:r w:rsidRPr="0025159C">
        <w:rPr>
          <w:b/>
          <w:bCs/>
        </w:rPr>
        <w:t>Schedule III</w:t>
      </w:r>
      <w:r w:rsidRPr="0025159C">
        <w:t> of the Companies Act, 2013. Unlike sole proprietorships, you cannot just list assets anywhere; they have specific "Major Heads" and "Sub-heads". Once we know the format, we analyze it using tools:</w:t>
      </w:r>
    </w:p>
    <w:p w14:paraId="150E777C" w14:textId="77777777" w:rsidR="0025159C" w:rsidRPr="0025159C" w:rsidRDefault="0025159C" w:rsidP="0025159C">
      <w:pPr>
        <w:numPr>
          <w:ilvl w:val="0"/>
          <w:numId w:val="133"/>
        </w:numPr>
      </w:pPr>
      <w:r w:rsidRPr="0025159C">
        <w:rPr>
          <w:b/>
          <w:bCs/>
        </w:rPr>
        <w:t>Comparative Statements:</w:t>
      </w:r>
      <w:r w:rsidRPr="0025159C">
        <w:t> Comparing items horizontally over two years to see absolute and percentage changes.</w:t>
      </w:r>
    </w:p>
    <w:p w14:paraId="670A85D8" w14:textId="77777777" w:rsidR="0025159C" w:rsidRPr="0025159C" w:rsidRDefault="0025159C" w:rsidP="0025159C">
      <w:pPr>
        <w:numPr>
          <w:ilvl w:val="0"/>
          <w:numId w:val="133"/>
        </w:numPr>
      </w:pPr>
      <w:r w:rsidRPr="0025159C">
        <w:rPr>
          <w:b/>
          <w:bCs/>
        </w:rPr>
        <w:t>Common Size Statements:</w:t>
      </w:r>
      <w:r w:rsidRPr="0025159C">
        <w:t> Converting all figures vertically into percentages of a common base (Total Assets for Balance Sheet, Revenue from Operations for P&amp;L).</w:t>
      </w:r>
    </w:p>
    <w:p w14:paraId="19BD9958" w14:textId="77777777" w:rsidR="0025159C" w:rsidRPr="0025159C" w:rsidRDefault="0025159C" w:rsidP="0025159C">
      <w:pPr>
        <w:numPr>
          <w:ilvl w:val="0"/>
          <w:numId w:val="133"/>
        </w:numPr>
      </w:pPr>
      <w:r w:rsidRPr="0025159C">
        <w:rPr>
          <w:b/>
          <w:bCs/>
        </w:rPr>
        <w:t>Accounting Ratios:</w:t>
      </w:r>
      <w:r w:rsidRPr="0025159C">
        <w:t> Establishing mathematical relationships between two accounting figures to judge Liquidity (short-term solvency), Solvency (long-term stability), Activity (efficiency), and Profitability.</w:t>
      </w:r>
    </w:p>
    <w:p w14:paraId="42EB07BC" w14:textId="77777777" w:rsidR="00CB1382" w:rsidRDefault="00CB1382" w:rsidP="0025159C">
      <w:pPr>
        <w:rPr>
          <w:b/>
          <w:bCs/>
        </w:rPr>
      </w:pPr>
    </w:p>
    <w:p w14:paraId="57404102" w14:textId="77777777" w:rsidR="00CB1382" w:rsidRDefault="00CB1382" w:rsidP="0025159C">
      <w:pPr>
        <w:rPr>
          <w:b/>
          <w:bCs/>
        </w:rPr>
      </w:pPr>
    </w:p>
    <w:p w14:paraId="19B091B3" w14:textId="4D948F0A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Concept Map</w:t>
      </w:r>
    </w:p>
    <w:p w14:paraId="7F543689" w14:textId="77777777" w:rsidR="00CB1382" w:rsidRPr="00CB1382" w:rsidRDefault="00CB1382" w:rsidP="00CB1382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CB1382">
        <w:rPr>
          <w:rFonts w:ascii="Arial" w:eastAsia="Times New Roman" w:hAnsi="Arial" w:cs="Arial"/>
          <w:color w:val="444746"/>
          <w:sz w:val="21"/>
          <w:szCs w:val="21"/>
        </w:rPr>
        <w:lastRenderedPageBreak/>
        <w:t>Plaintext</w:t>
      </w:r>
    </w:p>
    <w:p w14:paraId="5CBD2C6A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>Financial Analysis</w:t>
      </w:r>
    </w:p>
    <w:p w14:paraId="605DC815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08D1A4D9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>├── 1. The Structure (Schedule III)</w:t>
      </w:r>
    </w:p>
    <w:p w14:paraId="6DADDCCA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>│   ├── Balance Sheet (Equity &amp; Liabilities, Assets)</w:t>
      </w:r>
    </w:p>
    <w:p w14:paraId="41FC27EB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>│   └── Statement of P&amp;L (Revenue - Expenses = Profit)</w:t>
      </w:r>
    </w:p>
    <w:p w14:paraId="01944A00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30E79D7F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>└── 2. Tools for Analysis</w:t>
      </w:r>
    </w:p>
    <w:p w14:paraId="4091CD28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Horizontal: Comparative Statements (Year 1 vs Year 2)</w:t>
      </w:r>
    </w:p>
    <w:p w14:paraId="34784977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Vertical: Common Size Statements (% of Base)</w:t>
      </w:r>
    </w:p>
    <w:p w14:paraId="05A738CB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Mathematical: Accounting Ratios</w:t>
      </w:r>
    </w:p>
    <w:p w14:paraId="7B3A800F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Liquidity (Current, Quick)</w:t>
      </w:r>
    </w:p>
    <w:p w14:paraId="0E4FC81F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Solvency (Debt-Equity, Interest Coverage, etc.)</w:t>
      </w:r>
    </w:p>
    <w:p w14:paraId="25BD0CBA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Activity (Inventory/Debtors/Creditors Turnover)</w:t>
      </w:r>
    </w:p>
    <w:p w14:paraId="609E0FA3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B1C1D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└── Profitability (GP, NP, ROI, etc.)</w:t>
      </w:r>
    </w:p>
    <w:p w14:paraId="1A9CCF83" w14:textId="621153C4" w:rsidR="0025159C" w:rsidRPr="0025159C" w:rsidRDefault="0025159C" w:rsidP="0025159C"/>
    <w:p w14:paraId="0CD18D3D" w14:textId="77777777" w:rsidR="0025159C" w:rsidRPr="0025159C" w:rsidRDefault="0025159C" w:rsidP="0025159C">
      <w:r w:rsidRPr="0025159C">
        <w:rPr>
          <w:i/>
          <w:iCs/>
        </w:rPr>
        <w:t>Notice: Comparative looks LEFT-TO-RIGHT (across years). Common Size looks UP-TO-DOWN (within one year).</w:t>
      </w:r>
    </w:p>
    <w:p w14:paraId="5E241CEC" w14:textId="77777777" w:rsidR="0025159C" w:rsidRPr="0025159C" w:rsidRDefault="00000000" w:rsidP="0025159C">
      <w:r>
        <w:rPr>
          <w:noProof/>
        </w:rPr>
        <w:pict w14:anchorId="07D9CCD1">
          <v:rect id="_x0000_i1113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