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79AE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1E26C9E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Schedule III: The Rulebook</w:t>
      </w:r>
    </w:p>
    <w:p w14:paraId="511D4809" w14:textId="77777777" w:rsidR="0025159C" w:rsidRPr="0025159C" w:rsidRDefault="0025159C" w:rsidP="0025159C">
      <w:r w:rsidRPr="0025159C">
        <w:t>In companies, presentation is everything. You must memorize the Major Heads (e.g., </w:t>
      </w:r>
      <w:r w:rsidRPr="0025159C">
        <w:rPr>
          <w:b/>
          <w:bCs/>
        </w:rPr>
        <w:t>Non-Current Assets</w:t>
      </w:r>
      <w:r w:rsidRPr="0025159C">
        <w:t>) and Sub-heads (e.g., </w:t>
      </w:r>
      <w:r w:rsidRPr="0025159C">
        <w:rPr>
          <w:b/>
          <w:bCs/>
        </w:rPr>
        <w:t>Property, Plant and Equipment and Intangible Assets</w:t>
      </w:r>
      <w:r w:rsidRPr="0025159C">
        <w:t>).</w:t>
      </w:r>
    </w:p>
    <w:p w14:paraId="6B617149" w14:textId="77777777" w:rsidR="0025159C" w:rsidRPr="0025159C" w:rsidRDefault="0025159C" w:rsidP="0025159C">
      <w:pPr>
        <w:numPr>
          <w:ilvl w:val="0"/>
          <w:numId w:val="134"/>
        </w:numPr>
      </w:pPr>
      <w:r w:rsidRPr="0025159C">
        <w:rPr>
          <w:b/>
          <w:bCs/>
        </w:rPr>
        <w:t>Operating Cycle:</w:t>
      </w:r>
      <w:r w:rsidRPr="0025159C">
        <w:t> The time between buying raw materials and collecting cash from sales. If an asset is realized </w:t>
      </w:r>
      <w:r w:rsidRPr="0025159C">
        <w:rPr>
          <w:i/>
          <w:iCs/>
        </w:rPr>
        <w:t>within</w:t>
      </w:r>
      <w:r w:rsidRPr="0025159C">
        <w:t> this cycle (even if &gt; 12 months), it's </w:t>
      </w:r>
      <w:r w:rsidRPr="0025159C">
        <w:rPr>
          <w:b/>
          <w:bCs/>
        </w:rPr>
        <w:t>Current</w:t>
      </w:r>
      <w:r w:rsidRPr="0025159C">
        <w:t>. Otherwise, it's </w:t>
      </w:r>
      <w:r w:rsidRPr="0025159C">
        <w:rPr>
          <w:b/>
          <w:bCs/>
        </w:rPr>
        <w:t>Non-Current</w:t>
      </w:r>
      <w:r w:rsidRPr="0025159C">
        <w:t>.</w:t>
      </w:r>
    </w:p>
    <w:p w14:paraId="43345A57" w14:textId="7BDEDBF6" w:rsidR="00914075" w:rsidRDefault="0025159C" w:rsidP="00914075">
      <w:pPr>
        <w:rPr>
          <w:b/>
          <w:bCs/>
        </w:rPr>
      </w:pPr>
      <w:r w:rsidRPr="0025159C">
        <w:rPr>
          <w:b/>
          <w:bCs/>
        </w:rPr>
        <w:t>2. Comparative vs. Common Size</w:t>
      </w:r>
    </w:p>
    <w:p w14:paraId="134C3C7B" w14:textId="77777777" w:rsidR="00914075" w:rsidRDefault="00914075" w:rsidP="00914075">
      <w:pPr>
        <w:numPr>
          <w:ilvl w:val="0"/>
          <w:numId w:val="158"/>
        </w:numPr>
        <w:spacing w:after="120" w:line="240" w:lineRule="atLeast"/>
      </w:pPr>
      <w:r w:rsidRPr="00914075">
        <w:rPr>
          <w:b/>
          <w:bCs/>
        </w:rPr>
        <w:t>Comparative</w:t>
      </w:r>
      <w:r>
        <w:t xml:space="preserve">: Helps you see the trend. "Our sales increased by </w:t>
      </w:r>
      <m:oMath>
        <m:r>
          <m:rPr>
            <m:sty m:val="p"/>
          </m:rPr>
          <w:rPr>
            <w:rFonts w:ascii="Cambria Math" w:hAnsi="Cambria Math"/>
          </w:rPr>
          <m:t>10%</m:t>
        </m:r>
      </m:oMath>
      <w:r>
        <w:t xml:space="preserve"> this year."</w:t>
      </w:r>
    </w:p>
    <w:p w14:paraId="2FA97723" w14:textId="77777777" w:rsidR="00914075" w:rsidRDefault="00914075" w:rsidP="00914075">
      <w:pPr>
        <w:rPr>
          <w:b/>
          <w:bCs/>
        </w:rPr>
      </w:pPr>
    </w:p>
    <w:p w14:paraId="6C3A50A3" w14:textId="491B43CB" w:rsidR="00914075" w:rsidRPr="00914075" w:rsidRDefault="00CB1382" w:rsidP="00914075">
      <w:pPr>
        <w:rPr>
          <w:b/>
          <w:bCs/>
        </w:rPr>
      </w:pPr>
      <w:r w:rsidRPr="00CB1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4075" w:rsidRPr="00914075">
        <w:rPr>
          <w:noProof/>
        </w:rPr>
        <w:drawing>
          <wp:inline distT="0" distB="0" distL="0" distR="0" wp14:anchorId="36049AF0" wp14:editId="50B44493">
            <wp:extent cx="5124776" cy="31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187" cy="32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232B" w14:textId="248061F2" w:rsidR="00CB1382" w:rsidRPr="00CB1382" w:rsidRDefault="00CB1382" w:rsidP="00914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382">
        <w:rPr>
          <w:rFonts w:ascii="Times New Roman" w:eastAsia="Times New Roman" w:hAnsi="Symbol" w:cs="Times New Roman"/>
          <w:sz w:val="24"/>
          <w:szCs w:val="24"/>
        </w:rPr>
        <w:t></w:t>
      </w:r>
      <w:r w:rsidRPr="00CB13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1382">
        <w:rPr>
          <w:rFonts w:ascii="Times New Roman" w:eastAsia="Times New Roman" w:hAnsi="Times New Roman" w:cs="Times New Roman"/>
          <w:b/>
          <w:bCs/>
          <w:sz w:val="24"/>
          <w:szCs w:val="24"/>
        </w:rPr>
        <w:t>Common Size:</w:t>
      </w:r>
      <w:r w:rsidRPr="00CB1382">
        <w:rPr>
          <w:rFonts w:ascii="Times New Roman" w:eastAsia="Times New Roman" w:hAnsi="Times New Roman" w:cs="Times New Roman"/>
          <w:sz w:val="24"/>
          <w:szCs w:val="24"/>
        </w:rPr>
        <w:t xml:space="preserve"> Helps you see the </w:t>
      </w:r>
      <w:r w:rsidRPr="00CB1382">
        <w:rPr>
          <w:rFonts w:ascii="Times New Roman" w:eastAsia="Times New Roman" w:hAnsi="Times New Roman" w:cs="Times New Roman"/>
          <w:i/>
          <w:iCs/>
          <w:sz w:val="24"/>
          <w:szCs w:val="24"/>
        </w:rPr>
        <w:t>composition</w:t>
      </w:r>
      <w:r w:rsidRPr="00CB1382">
        <w:rPr>
          <w:rFonts w:ascii="Times New Roman" w:eastAsia="Times New Roman" w:hAnsi="Times New Roman" w:cs="Times New Roman"/>
          <w:sz w:val="24"/>
          <w:szCs w:val="24"/>
        </w:rPr>
        <w:t>. "Our raw material cost is 60% of our total sales."</w:t>
      </w:r>
    </w:p>
    <w:p w14:paraId="22E50E87" w14:textId="77777777" w:rsidR="00CB1382" w:rsidRPr="00CB1382" w:rsidRDefault="00CB1382" w:rsidP="0091407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382">
        <w:rPr>
          <w:rFonts w:ascii="Times New Roman" w:eastAsia="Times New Roman" w:hAnsi="Times New Roman" w:cs="Times New Roman"/>
          <w:i/>
          <w:iCs/>
          <w:sz w:val="24"/>
          <w:szCs w:val="24"/>
        </w:rPr>
        <w:t>Base for BS:</w:t>
      </w:r>
      <w:r w:rsidRPr="00CB1382">
        <w:rPr>
          <w:rFonts w:ascii="Times New Roman" w:eastAsia="Times New Roman" w:hAnsi="Times New Roman" w:cs="Times New Roman"/>
          <w:sz w:val="24"/>
          <w:szCs w:val="24"/>
        </w:rPr>
        <w:t xml:space="preserve"> Total Assets (or Total Liabilities &amp; Equity).</w:t>
      </w:r>
    </w:p>
    <w:p w14:paraId="486B05B8" w14:textId="77777777" w:rsidR="00CB1382" w:rsidRPr="00CB1382" w:rsidRDefault="00CB1382" w:rsidP="0091407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382">
        <w:rPr>
          <w:rFonts w:ascii="Times New Roman" w:eastAsia="Times New Roman" w:hAnsi="Times New Roman" w:cs="Times New Roman"/>
          <w:i/>
          <w:iCs/>
          <w:sz w:val="24"/>
          <w:szCs w:val="24"/>
        </w:rPr>
        <w:t>Base for P&amp;L:</w:t>
      </w:r>
      <w:r w:rsidRPr="00CB1382">
        <w:rPr>
          <w:rFonts w:ascii="Times New Roman" w:eastAsia="Times New Roman" w:hAnsi="Times New Roman" w:cs="Times New Roman"/>
          <w:sz w:val="24"/>
          <w:szCs w:val="24"/>
        </w:rPr>
        <w:t xml:space="preserve"> Revenue from Operations (Net Sales).</w:t>
      </w:r>
    </w:p>
    <w:p w14:paraId="18F6C1C2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Accounting Ratios (The Big Four)</w:t>
      </w:r>
    </w:p>
    <w:p w14:paraId="4D73E580" w14:textId="77777777" w:rsidR="0025159C" w:rsidRPr="0025159C" w:rsidRDefault="0025159C" w:rsidP="00914075">
      <w:pPr>
        <w:numPr>
          <w:ilvl w:val="0"/>
          <w:numId w:val="135"/>
        </w:numPr>
      </w:pPr>
      <w:r w:rsidRPr="0025159C">
        <w:rPr>
          <w:b/>
          <w:bCs/>
        </w:rPr>
        <w:t>Liquidity:</w:t>
      </w:r>
      <w:r w:rsidRPr="0025159C">
        <w:t> Can we pay bills </w:t>
      </w:r>
      <w:r w:rsidRPr="0025159C">
        <w:rPr>
          <w:i/>
          <w:iCs/>
        </w:rPr>
        <w:t>tomorrow</w:t>
      </w:r>
      <w:r w:rsidRPr="0025159C">
        <w:t>? (Ideal Current Ratio 2:1).</w:t>
      </w:r>
    </w:p>
    <w:p w14:paraId="723837EA" w14:textId="77777777" w:rsidR="0025159C" w:rsidRPr="0025159C" w:rsidRDefault="0025159C" w:rsidP="00914075">
      <w:pPr>
        <w:numPr>
          <w:ilvl w:val="0"/>
          <w:numId w:val="135"/>
        </w:numPr>
      </w:pPr>
      <w:r w:rsidRPr="0025159C">
        <w:rPr>
          <w:b/>
          <w:bCs/>
        </w:rPr>
        <w:t>Solvency:</w:t>
      </w:r>
      <w:r w:rsidRPr="0025159C">
        <w:t> Can we repay huge loans </w:t>
      </w:r>
      <w:r w:rsidRPr="0025159C">
        <w:rPr>
          <w:i/>
          <w:iCs/>
        </w:rPr>
        <w:t>in 5 years</w:t>
      </w:r>
      <w:r w:rsidRPr="0025159C">
        <w:t>? (Ideal Debt-Equity 2:1).</w:t>
      </w:r>
    </w:p>
    <w:p w14:paraId="71C5F2BB" w14:textId="77777777" w:rsidR="0025159C" w:rsidRPr="0025159C" w:rsidRDefault="0025159C" w:rsidP="00914075">
      <w:pPr>
        <w:numPr>
          <w:ilvl w:val="0"/>
          <w:numId w:val="135"/>
        </w:numPr>
      </w:pPr>
      <w:r w:rsidRPr="0025159C">
        <w:rPr>
          <w:b/>
          <w:bCs/>
        </w:rPr>
        <w:t>Activity (Turnover):</w:t>
      </w:r>
      <w:r w:rsidRPr="0025159C">
        <w:t> How </w:t>
      </w:r>
      <w:r w:rsidRPr="0025159C">
        <w:rPr>
          <w:i/>
          <w:iCs/>
        </w:rPr>
        <w:t>fast</w:t>
      </w:r>
      <w:r w:rsidRPr="0025159C">
        <w:t> are we selling stock or collecting cash? Higher is usually better.</w:t>
      </w:r>
    </w:p>
    <w:p w14:paraId="51FDF156" w14:textId="60A8FF5B" w:rsidR="0025159C" w:rsidRPr="00BE7E98" w:rsidRDefault="0025159C" w:rsidP="00914075">
      <w:pPr>
        <w:numPr>
          <w:ilvl w:val="0"/>
          <w:numId w:val="135"/>
        </w:numPr>
        <w:rPr>
          <w:b/>
          <w:bCs/>
          <w:highlight w:val="green"/>
        </w:rPr>
      </w:pPr>
      <w:r w:rsidRPr="0025159C">
        <w:rPr>
          <w:b/>
          <w:bCs/>
        </w:rPr>
        <w:lastRenderedPageBreak/>
        <w:t>Profitability:</w:t>
      </w:r>
      <w:r w:rsidRPr="0025159C">
        <w:t> Are we making money? (GP Ratio, NP Ratio, ROI).</w:t>
      </w:r>
      <w:r w:rsidR="00BE7E98">
        <w:br/>
      </w:r>
      <w:r w:rsidR="00BE7E98" w:rsidRPr="00BE7E98">
        <w:rPr>
          <w:b/>
          <w:bCs/>
          <w:highlight w:val="green"/>
        </w:rPr>
        <w:t xml:space="preserve">Memorizing the entire balance sheet format and the entire profit and loss </w:t>
      </w:r>
      <w:r w:rsidR="00F04216">
        <w:rPr>
          <w:b/>
          <w:bCs/>
          <w:highlight w:val="green"/>
        </w:rPr>
        <w:t>statement</w:t>
      </w:r>
      <w:r w:rsidR="00BE7E98" w:rsidRPr="00BE7E98">
        <w:rPr>
          <w:b/>
          <w:bCs/>
          <w:highlight w:val="green"/>
        </w:rPr>
        <w:t xml:space="preserve"> format is extremely important for this chapter. The major heads, sub heads and examples of items in each sub head are theory questions which are usually asked in exams.</w:t>
      </w:r>
      <w:r w:rsidR="00BE7E98" w:rsidRPr="00BE7E98">
        <w:rPr>
          <w:b/>
          <w:bCs/>
          <w:highlight w:val="green"/>
        </w:rPr>
        <w:br/>
        <w:t>Also memorizing all the formulas of accounting ratios is extremely important as well</w:t>
      </w:r>
      <w:r w:rsidR="00BE7E98">
        <w:rPr>
          <w:b/>
          <w:bCs/>
          <w:highlight w:val="green"/>
        </w:rPr>
        <w:t>. Most of the formulas can be easily remembered just by their names, for example</w:t>
      </w:r>
      <w:r w:rsidR="00897354">
        <w:rPr>
          <w:b/>
          <w:bCs/>
          <w:highlight w:val="green"/>
        </w:rPr>
        <w:t>: - Current Ratio = Current Assets/Current Liabilities, this is easy to remember as the ratio itself reminds you of the formula.</w:t>
      </w:r>
      <w:r w:rsidR="00A03DFD">
        <w:rPr>
          <w:b/>
          <w:bCs/>
          <w:highlight w:val="green"/>
        </w:rPr>
        <w:br/>
        <w:t>Also memorize the format of comparative and common size statements.</w:t>
      </w:r>
    </w:p>
    <w:p w14:paraId="16203E65" w14:textId="77777777" w:rsidR="0025159C" w:rsidRPr="0025159C" w:rsidRDefault="00000000" w:rsidP="0025159C">
      <w:r>
        <w:rPr>
          <w:noProof/>
        </w:rPr>
        <w:pict w14:anchorId="49932719">
          <v:rect id="_x0000_i111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