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2A9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45A29FCD" w14:textId="77777777" w:rsidR="0025159C" w:rsidRPr="0025159C" w:rsidRDefault="0025159C" w:rsidP="00914075">
      <w:pPr>
        <w:numPr>
          <w:ilvl w:val="0"/>
          <w:numId w:val="137"/>
        </w:numPr>
      </w:pPr>
      <w:r w:rsidRPr="0025159C">
        <w:rPr>
          <w:b/>
          <w:bCs/>
        </w:rPr>
        <w:lastRenderedPageBreak/>
        <w:t>Schedule III:</w:t>
      </w:r>
      <w:r w:rsidRPr="0025159C">
        <w:t> The schedule of Companies Act, 2013 that provides the format for Financial Statements.</w:t>
      </w:r>
    </w:p>
    <w:p w14:paraId="0AD9625A" w14:textId="77777777" w:rsidR="0025159C" w:rsidRPr="0025159C" w:rsidRDefault="0025159C" w:rsidP="00914075">
      <w:pPr>
        <w:numPr>
          <w:ilvl w:val="0"/>
          <w:numId w:val="137"/>
        </w:numPr>
      </w:pPr>
      <w:r w:rsidRPr="0025159C">
        <w:rPr>
          <w:b/>
          <w:bCs/>
        </w:rPr>
        <w:t>Revenue from Operations:</w:t>
      </w:r>
      <w:r w:rsidRPr="0025159C">
        <w:t> Net sales arising from the principal revenue-generating activities of the company.</w:t>
      </w:r>
    </w:p>
    <w:p w14:paraId="509ED93B" w14:textId="77777777" w:rsidR="0025159C" w:rsidRPr="0025159C" w:rsidRDefault="0025159C" w:rsidP="00914075">
      <w:pPr>
        <w:numPr>
          <w:ilvl w:val="0"/>
          <w:numId w:val="137"/>
        </w:numPr>
      </w:pPr>
      <w:r w:rsidRPr="0025159C">
        <w:rPr>
          <w:b/>
          <w:bCs/>
        </w:rPr>
        <w:t>Cost of Revenue from Operations:</w:t>
      </w:r>
      <w:r w:rsidRPr="0025159C">
        <w:t> Cost of Goods Sold (COGS).</w:t>
      </w:r>
    </w:p>
    <w:p w14:paraId="790091A9" w14:textId="77777777" w:rsidR="0025159C" w:rsidRPr="0025159C" w:rsidRDefault="0025159C" w:rsidP="00914075">
      <w:pPr>
        <w:numPr>
          <w:ilvl w:val="0"/>
          <w:numId w:val="137"/>
        </w:numPr>
      </w:pPr>
      <w:r w:rsidRPr="0025159C">
        <w:rPr>
          <w:b/>
          <w:bCs/>
        </w:rPr>
        <w:t>Quick Assets (Liquid Assets):</w:t>
      </w:r>
      <w:r w:rsidRPr="0025159C">
        <w:t> Assets that can be converted into cash immediately without loss of value (excludes Inventory and Prepaid Expenses).</w:t>
      </w:r>
    </w:p>
    <w:p w14:paraId="25E0E972" w14:textId="77777777" w:rsidR="0025159C" w:rsidRPr="0025159C" w:rsidRDefault="0025159C" w:rsidP="00914075">
      <w:pPr>
        <w:numPr>
          <w:ilvl w:val="0"/>
          <w:numId w:val="137"/>
        </w:numPr>
      </w:pPr>
      <w:r w:rsidRPr="0025159C">
        <w:rPr>
          <w:b/>
          <w:bCs/>
        </w:rPr>
        <w:t>Capital Employed:</w:t>
      </w:r>
      <w:r w:rsidRPr="0025159C">
        <w:t> Shareholder's Funds + Non-Current Liabilities OR Total Assets - Current Liabilities.</w:t>
      </w:r>
    </w:p>
    <w:p w14:paraId="4068875E" w14:textId="77777777" w:rsidR="0025159C" w:rsidRPr="0025159C" w:rsidRDefault="0025159C" w:rsidP="00914075">
      <w:pPr>
        <w:numPr>
          <w:ilvl w:val="0"/>
          <w:numId w:val="137"/>
        </w:numPr>
      </w:pPr>
      <w:r w:rsidRPr="0025159C">
        <w:rPr>
          <w:b/>
          <w:bCs/>
        </w:rPr>
        <w:t>Operating Profit:</w:t>
      </w:r>
      <w:r w:rsidRPr="0025159C">
        <w:t> Profit earned from normal core business operations (excluding non-operating income/expenses like interest or loss on sale of assets).</w:t>
      </w:r>
    </w:p>
    <w:p w14:paraId="051DE988" w14:textId="77777777" w:rsidR="0025159C" w:rsidRPr="0025159C" w:rsidRDefault="00000000" w:rsidP="0025159C">
      <w:r>
        <w:rPr>
          <w:noProof/>
        </w:rPr>
        <w:pict w14:anchorId="65C3416F">
          <v:rect id="_x0000_i111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