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8EF06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D. Key Terms and Keywords</w:t>
      </w:r>
    </w:p>
    <w:p w14:paraId="1646A5D4" w14:textId="77777777" w:rsidR="0025159C" w:rsidRPr="0025159C" w:rsidRDefault="0025159C" w:rsidP="00914075">
      <w:pPr>
        <w:numPr>
          <w:ilvl w:val="0"/>
          <w:numId w:val="149"/>
        </w:numPr>
      </w:pPr>
      <w:r w:rsidRPr="0025159C">
        <w:rPr>
          <w:b/>
          <w:bCs/>
        </w:rPr>
        <w:t>Cash Flow:</w:t>
      </w:r>
      <w:r w:rsidRPr="0025159C">
        <w:t> Inflows (receipts) and outflows (payments) of cash and cash equivalents.</w:t>
      </w:r>
    </w:p>
    <w:p w14:paraId="2F54782E" w14:textId="77777777" w:rsidR="0025159C" w:rsidRPr="0025159C" w:rsidRDefault="0025159C" w:rsidP="00914075">
      <w:pPr>
        <w:numPr>
          <w:ilvl w:val="0"/>
          <w:numId w:val="149"/>
        </w:numPr>
      </w:pPr>
      <w:r w:rsidRPr="0025159C">
        <w:rPr>
          <w:b/>
          <w:bCs/>
        </w:rPr>
        <w:t>Operating Activities:</w:t>
      </w:r>
      <w:r w:rsidRPr="0025159C">
        <w:t> Principal revenue-producing activities of the enterprise.</w:t>
      </w:r>
    </w:p>
    <w:p w14:paraId="56933F19" w14:textId="77777777" w:rsidR="0025159C" w:rsidRPr="0025159C" w:rsidRDefault="0025159C" w:rsidP="00914075">
      <w:pPr>
        <w:numPr>
          <w:ilvl w:val="0"/>
          <w:numId w:val="149"/>
        </w:numPr>
      </w:pPr>
      <w:r w:rsidRPr="0025159C">
        <w:rPr>
          <w:b/>
          <w:bCs/>
        </w:rPr>
        <w:t>Investing Activities:</w:t>
      </w:r>
      <w:r w:rsidRPr="0025159C">
        <w:t> Acquisition and disposal of long-term assets and other investments not included in cash equivalents.</w:t>
      </w:r>
    </w:p>
    <w:p w14:paraId="69E8795F" w14:textId="77777777" w:rsidR="0025159C" w:rsidRPr="0025159C" w:rsidRDefault="0025159C" w:rsidP="00914075">
      <w:pPr>
        <w:numPr>
          <w:ilvl w:val="0"/>
          <w:numId w:val="149"/>
        </w:numPr>
      </w:pPr>
      <w:r w:rsidRPr="0025159C">
        <w:rPr>
          <w:b/>
          <w:bCs/>
        </w:rPr>
        <w:t>Financing Activities:</w:t>
      </w:r>
      <w:r w:rsidRPr="0025159C">
        <w:t> Activities that result in changes in the size and composition of the owner’s capital and borrowings of the enterprise.</w:t>
      </w:r>
    </w:p>
    <w:p w14:paraId="168522CE" w14:textId="77777777" w:rsidR="0025159C" w:rsidRPr="0025159C" w:rsidRDefault="0025159C" w:rsidP="00914075">
      <w:pPr>
        <w:numPr>
          <w:ilvl w:val="0"/>
          <w:numId w:val="149"/>
        </w:numPr>
      </w:pPr>
      <w:r w:rsidRPr="0025159C">
        <w:rPr>
          <w:b/>
          <w:bCs/>
        </w:rPr>
        <w:t>Extraordinary Items:</w:t>
      </w:r>
      <w:r w:rsidRPr="0025159C">
        <w:t> Income or expenses that arise from events or transactions that are clearly distinct from the ordinary activities (e.g., insurance claim for earthquake disaster).</w:t>
      </w:r>
    </w:p>
    <w:p w14:paraId="0C9504E4" w14:textId="77777777" w:rsidR="0025159C" w:rsidRPr="0025159C" w:rsidRDefault="00000000" w:rsidP="0025159C">
      <w:r>
        <w:rPr>
          <w:noProof/>
        </w:rPr>
        <w:pict w14:anchorId="4C172F8D">
          <v:rect id="_x0000_i1124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