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68A5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A. Unit Information &amp; Concept Map</w:t>
      </w:r>
    </w:p>
    <w:p w14:paraId="56C14F0B" w14:textId="77777777" w:rsidR="0025159C" w:rsidRPr="0025159C" w:rsidRDefault="0025159C" w:rsidP="0025159C">
      <w:pPr>
        <w:numPr>
          <w:ilvl w:val="0"/>
          <w:numId w:val="11"/>
        </w:numPr>
      </w:pPr>
      <w:r w:rsidRPr="0025159C">
        <w:rPr>
          <w:b/>
          <w:bCs/>
        </w:rPr>
        <w:lastRenderedPageBreak/>
        <w:t>Unit 2 (Module A):</w:t>
      </w:r>
      <w:r w:rsidRPr="0025159C">
        <w:t> Accounting Process - Recording Transactions</w:t>
      </w:r>
    </w:p>
    <w:p w14:paraId="51022F50" w14:textId="77777777" w:rsidR="0025159C" w:rsidRPr="0025159C" w:rsidRDefault="0025159C" w:rsidP="0025159C">
      <w:pPr>
        <w:numPr>
          <w:ilvl w:val="0"/>
          <w:numId w:val="11"/>
        </w:numPr>
      </w:pPr>
      <w:r w:rsidRPr="0025159C">
        <w:rPr>
          <w:b/>
          <w:bCs/>
        </w:rPr>
        <w:t>Topics Covered:</w:t>
      </w:r>
      <w:r w:rsidRPr="0025159C">
        <w:t> Source Documents, Vouchers, Accounting Equation, Rules of Debit and Credit, Books of Original Entry (Journal, Cash Book, Other Subsidiary Books), and Ledger.</w:t>
      </w:r>
    </w:p>
    <w:p w14:paraId="5BDDF37E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Summary</w:t>
      </w:r>
    </w:p>
    <w:p w14:paraId="6CD30409" w14:textId="77777777" w:rsidR="0025159C" w:rsidRPr="0025159C" w:rsidRDefault="0025159C" w:rsidP="0025159C">
      <w:r w:rsidRPr="0025159C">
        <w:t>This module traces the journey of a business transaction. It starts with a </w:t>
      </w:r>
      <w:r w:rsidRPr="0025159C">
        <w:rPr>
          <w:b/>
          <w:bCs/>
        </w:rPr>
        <w:t>Source Document</w:t>
      </w:r>
      <w:r w:rsidRPr="0025159C">
        <w:t> (evidence, like a bill). Based on this, a </w:t>
      </w:r>
      <w:r w:rsidRPr="0025159C">
        <w:rPr>
          <w:b/>
          <w:bCs/>
        </w:rPr>
        <w:t>Voucher</w:t>
      </w:r>
      <w:r w:rsidRPr="0025159C">
        <w:t> is prepared, detailing which accounts to debit or credit. We then record it in the </w:t>
      </w:r>
      <w:r w:rsidRPr="0025159C">
        <w:rPr>
          <w:b/>
          <w:bCs/>
        </w:rPr>
        <w:t>Books of Original Entry</w:t>
      </w:r>
      <w:r w:rsidRPr="0025159C">
        <w:t>. For small businesses, this is just the </w:t>
      </w:r>
      <w:r w:rsidRPr="0025159C">
        <w:rPr>
          <w:b/>
          <w:bCs/>
        </w:rPr>
        <w:t>Journal</w:t>
      </w:r>
      <w:r w:rsidRPr="0025159C">
        <w:t>. For larger ones, we use </w:t>
      </w:r>
      <w:r w:rsidRPr="0025159C">
        <w:rPr>
          <w:b/>
          <w:bCs/>
        </w:rPr>
        <w:t>Special Purpose Books</w:t>
      </w:r>
      <w:r w:rsidRPr="0025159C">
        <w:t> (like Cash Book for all cash deals, Sales Book for credit sales of goods). Finally, all these entries are "posted" to the </w:t>
      </w:r>
      <w:r w:rsidRPr="0025159C">
        <w:rPr>
          <w:b/>
          <w:bCs/>
        </w:rPr>
        <w:t>Ledger</w:t>
      </w:r>
      <w:r w:rsidRPr="0025159C">
        <w:t>, which is the principal book containing individual accounts for every person, asset, expense, or income. The golden rules (or modern rules) of Debit and Credit govern every step here.</w:t>
      </w:r>
    </w:p>
    <w:p w14:paraId="764EB03F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Concept Map</w:t>
      </w:r>
    </w:p>
    <w:p w14:paraId="43CC5F24" w14:textId="77777777" w:rsidR="0025159C" w:rsidRPr="0025159C" w:rsidRDefault="0025159C" w:rsidP="0025159C">
      <w:r w:rsidRPr="0025159C">
        <w:t>Plaintext</w:t>
      </w:r>
    </w:p>
    <w:p w14:paraId="7E6EB242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Transaction Occurs</w:t>
      </w:r>
    </w:p>
    <w:p w14:paraId="77B98183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│</w:t>
      </w:r>
    </w:p>
    <w:p w14:paraId="22AA8264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▼</w:t>
      </w:r>
    </w:p>
    <w:p w14:paraId="0258FD4A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Source Document (Evidence: Invoice, Receipt)</w:t>
      </w:r>
    </w:p>
    <w:p w14:paraId="2AF9B3E2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│</w:t>
      </w:r>
    </w:p>
    <w:p w14:paraId="4876C131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▼</w:t>
      </w:r>
    </w:p>
    <w:p w14:paraId="0EDE4859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Voucher (Authorization: Debit/Credit decision)</w:t>
      </w:r>
    </w:p>
    <w:p w14:paraId="008A461E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│</w:t>
      </w:r>
    </w:p>
    <w:p w14:paraId="53B0A0D3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▼</w:t>
      </w:r>
    </w:p>
    <w:p w14:paraId="3A1693C6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Recording (Books of Original Entry)</w:t>
      </w:r>
    </w:p>
    <w:p w14:paraId="0F2FDF0F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├── Journal (General)</w:t>
      </w:r>
    </w:p>
    <w:p w14:paraId="3A8D0AE8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└── Special Purpose Books (Cash Book, Purchases Book, etc.)</w:t>
      </w:r>
    </w:p>
    <w:p w14:paraId="4FE8328F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        │</w:t>
      </w:r>
    </w:p>
    <w:p w14:paraId="19E86E58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        ▼</w:t>
      </w:r>
    </w:p>
    <w:p w14:paraId="04DDEA02" w14:textId="77777777" w:rsidR="0025159C" w:rsidRPr="0025159C" w:rsidRDefault="0025159C" w:rsidP="0025159C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>Classifying (Principal Book)</w:t>
      </w:r>
    </w:p>
    <w:p w14:paraId="7DC579C3" w14:textId="77777777" w:rsidR="00090831" w:rsidRDefault="0025159C" w:rsidP="0025159C">
      <w:pPr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</w:pPr>
      <w:r w:rsidRPr="0025159C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F0F4F9"/>
        </w:rPr>
        <w:t xml:space="preserve">    └── Ledger (Individual Accounts: Posting &amp; Balancing)</w:t>
      </w:r>
    </w:p>
    <w:p w14:paraId="6ACAD1E5" w14:textId="774DC683" w:rsidR="0025159C" w:rsidRPr="0025159C" w:rsidRDefault="0025159C" w:rsidP="0025159C">
      <w:r w:rsidRPr="0025159C">
        <w:rPr>
          <w:i/>
          <w:iCs/>
        </w:rPr>
        <w:t>Notice the flow: Evidence -&gt; Authorization -&gt; Recording -&gt; Classifying. Many process-based MCQs come from this exact sequence.</w:t>
      </w:r>
    </w:p>
    <w:p w14:paraId="01E328E5" w14:textId="77777777" w:rsidR="0025159C" w:rsidRPr="0025159C" w:rsidRDefault="00000000" w:rsidP="0025159C">
      <w:r>
        <w:rPr>
          <w:noProof/>
        </w:rPr>
        <w:pict w14:anchorId="71EC8657">
          <v:rect id="_x0000_i1033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