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07AE2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D. Key Terms and Keywords</w:t>
      </w:r>
    </w:p>
    <w:p w14:paraId="0F770214" w14:textId="77777777" w:rsidR="0025159C" w:rsidRPr="0025159C" w:rsidRDefault="0025159C" w:rsidP="0025159C">
      <w:pPr>
        <w:numPr>
          <w:ilvl w:val="0"/>
          <w:numId w:val="104"/>
        </w:numPr>
      </w:pPr>
      <w:r w:rsidRPr="0025159C">
        <w:rPr>
          <w:b/>
          <w:bCs/>
        </w:rPr>
        <w:t>Dissolution of Firm:</w:t>
      </w:r>
      <w:r w:rsidRPr="0025159C">
        <w:t> The complete closure of the business of the firm, breaking all relations between all partners.</w:t>
      </w:r>
    </w:p>
    <w:p w14:paraId="639761CD" w14:textId="77777777" w:rsidR="0025159C" w:rsidRPr="0025159C" w:rsidRDefault="0025159C" w:rsidP="0025159C">
      <w:pPr>
        <w:numPr>
          <w:ilvl w:val="0"/>
          <w:numId w:val="104"/>
        </w:numPr>
      </w:pPr>
      <w:proofErr w:type="spellStart"/>
      <w:r w:rsidRPr="0025159C">
        <w:rPr>
          <w:b/>
          <w:bCs/>
        </w:rPr>
        <w:t>Realisation</w:t>
      </w:r>
      <w:proofErr w:type="spellEnd"/>
      <w:r w:rsidRPr="0025159C">
        <w:rPr>
          <w:b/>
          <w:bCs/>
        </w:rPr>
        <w:t xml:space="preserve"> Account:</w:t>
      </w:r>
      <w:r w:rsidRPr="0025159C">
        <w:t> A nominal account opened on dissolution to close assets and liabilities and find out profit/loss on their realization.</w:t>
      </w:r>
    </w:p>
    <w:p w14:paraId="418FD994" w14:textId="77777777" w:rsidR="0025159C" w:rsidRPr="0025159C" w:rsidRDefault="0025159C" w:rsidP="0025159C">
      <w:pPr>
        <w:numPr>
          <w:ilvl w:val="0"/>
          <w:numId w:val="104"/>
        </w:numPr>
      </w:pPr>
      <w:r w:rsidRPr="0025159C">
        <w:rPr>
          <w:b/>
          <w:bCs/>
        </w:rPr>
        <w:t>Firm's Debts:</w:t>
      </w:r>
      <w:r w:rsidRPr="0025159C">
        <w:t> Debts owed by the firm to outsiders.</w:t>
      </w:r>
    </w:p>
    <w:p w14:paraId="469AD004" w14:textId="77777777" w:rsidR="0025159C" w:rsidRPr="0025159C" w:rsidRDefault="0025159C" w:rsidP="0025159C">
      <w:pPr>
        <w:numPr>
          <w:ilvl w:val="0"/>
          <w:numId w:val="104"/>
        </w:numPr>
      </w:pPr>
      <w:r w:rsidRPr="0025159C">
        <w:rPr>
          <w:b/>
          <w:bCs/>
        </w:rPr>
        <w:t>Private Debts:</w:t>
      </w:r>
      <w:r w:rsidRPr="0025159C">
        <w:t> Debts owed by a partner in their personal capacity.</w:t>
      </w:r>
    </w:p>
    <w:p w14:paraId="3C2B0DB5" w14:textId="77777777" w:rsidR="0025159C" w:rsidRPr="0025159C" w:rsidRDefault="0025159C" w:rsidP="0025159C">
      <w:pPr>
        <w:numPr>
          <w:ilvl w:val="0"/>
          <w:numId w:val="104"/>
        </w:numPr>
      </w:pPr>
      <w:r w:rsidRPr="0025159C">
        <w:rPr>
          <w:b/>
          <w:bCs/>
        </w:rPr>
        <w:t>Unrecorded Assets:</w:t>
      </w:r>
      <w:r w:rsidRPr="0025159C">
        <w:t> Assets owned by the firm but not appearing in the Balance Sheet (e.g., old written-off typewriter).</w:t>
      </w:r>
    </w:p>
    <w:p w14:paraId="5AB9B3F1" w14:textId="77777777" w:rsidR="0025159C" w:rsidRPr="0025159C" w:rsidRDefault="0025159C" w:rsidP="0025159C">
      <w:pPr>
        <w:numPr>
          <w:ilvl w:val="0"/>
          <w:numId w:val="104"/>
        </w:numPr>
      </w:pPr>
      <w:r w:rsidRPr="0025159C">
        <w:rPr>
          <w:b/>
          <w:bCs/>
        </w:rPr>
        <w:t>Garner vs. Murray Rule:</w:t>
      </w:r>
      <w:r w:rsidRPr="0025159C">
        <w:t> A rule for settling accounts when one partner is insolvent (Note: Insolvency is excluded from syllabus, but the term might appear as a distractor).</w:t>
      </w:r>
    </w:p>
    <w:p w14:paraId="21390091" w14:textId="77777777" w:rsidR="0025159C" w:rsidRPr="0025159C" w:rsidRDefault="00000000" w:rsidP="0025159C">
      <w:r>
        <w:rPr>
          <w:noProof/>
        </w:rPr>
        <w:lastRenderedPageBreak/>
        <w:pict w14:anchorId="753E888A">
          <v:rect id="_x0000_i1092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