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6190" w14:textId="77777777" w:rsidR="00BB42E7" w:rsidRDefault="00BB42E7" w:rsidP="00BB42E7">
      <w:pPr>
        <w:spacing w:before="330" w:line="271" w:lineRule="auto"/>
      </w:pPr>
      <w:bookmarkStart w:id="143" w:name="b_in_depth_explanation_analysis_14"/>
      <w:r>
        <w:rPr>
          <w:b/>
          <w:sz w:val="42"/>
        </w:rPr>
        <w:t>B. In-Depth Explanation &amp; Analysis</w:t>
      </w:r>
      <w:bookmarkEnd w:id="143"/>
    </w:p>
    <w:p w14:paraId="59A1A648" w14:textId="77777777" w:rsidR="00BB42E7" w:rsidRDefault="00000000">
      <w:pPr>
        <w:numPr>
          <w:ilvl w:val="0"/>
          <w:numId w:val="252"/>
        </w:numPr>
        <w:spacing w:after="120" w:line="240" w:lineRule="atLeas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1</m:t>
        </m:r>
      </m:oMath>
      <w:r w:rsidR="00BB42E7">
        <w:t xml:space="preserve"> vs.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2</m:t>
        </m:r>
      </m:oMath>
      <w:r w:rsidR="00BB42E7">
        <w:t xml:space="preserve"> Mechanisms This is the most critical theoretical concept.</w:t>
      </w:r>
    </w:p>
    <w:p w14:paraId="2974F13F" w14:textId="77777777" w:rsidR="00BB42E7" w:rsidRDefault="00000000">
      <w:pPr>
        <w:numPr>
          <w:ilvl w:val="0"/>
          <w:numId w:val="253"/>
        </w:numPr>
        <w:spacing w:after="120" w:line="240" w:lineRule="atLeas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2</m:t>
        </m:r>
      </m:oMath>
      <w:r w:rsidR="00BB42E7">
        <w:t xml:space="preserve"> (Bimolecular):</w:t>
      </w:r>
    </w:p>
    <w:p w14:paraId="0657D69B" w14:textId="77777777" w:rsidR="00BB42E7" w:rsidRDefault="00BB42E7">
      <w:pPr>
        <w:pStyle w:val="ListParagraph"/>
        <w:numPr>
          <w:ilvl w:val="0"/>
          <w:numId w:val="277"/>
        </w:numPr>
        <w:spacing w:after="120" w:line="240" w:lineRule="atLeast"/>
      </w:pPr>
      <w:r>
        <w:t xml:space="preserve">Mechanism: The Nucleophile attacks from the back side of the </w:t>
      </w:r>
      <m:oMath>
        <m:r>
          <m:rPr>
            <m:sty m:val="p"/>
          </m:rPr>
          <w:rPr>
            <w:rFonts w:ascii="Cambria Math" w:hAnsi="Cambria Math"/>
          </w:rPr>
          <m:t>C-X</m:t>
        </m:r>
      </m:oMath>
      <w:r>
        <w:t xml:space="preserve"> bond while the leaving group leaves. It's a concerted process (one step).</w:t>
      </w:r>
    </w:p>
    <w:p w14:paraId="72D0AE2E" w14:textId="77777777" w:rsidR="00BB42E7" w:rsidRDefault="00BB42E7">
      <w:pPr>
        <w:pStyle w:val="ListParagraph"/>
        <w:numPr>
          <w:ilvl w:val="0"/>
          <w:numId w:val="277"/>
        </w:numPr>
        <w:spacing w:after="120" w:line="240" w:lineRule="atLeast"/>
      </w:pPr>
      <w:r>
        <w:t xml:space="preserve">Steric Hindrance: Bulky groups block the back attack. Hence, Methyl </w:t>
      </w:r>
      <m:oMath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</w:t>
      </w:r>
    </w:p>
    <w:p w14:paraId="4AB70B8D" w14:textId="77777777" w:rsidR="00BB42E7" w:rsidRDefault="00BB42E7">
      <w:pPr>
        <w:pStyle w:val="ListParagraph"/>
        <w:numPr>
          <w:ilvl w:val="0"/>
          <w:numId w:val="277"/>
        </w:numPr>
        <w:spacing w:after="120" w:line="240" w:lineRule="atLeast"/>
      </w:pPr>
      <w:r>
        <w:t>Stereochemistry: Like an umbrella turning inside out (Inversion).</w:t>
      </w:r>
    </w:p>
    <w:p w14:paraId="6B430F57" w14:textId="77777777" w:rsidR="00BB42E7" w:rsidRDefault="00000000">
      <w:pPr>
        <w:numPr>
          <w:ilvl w:val="0"/>
          <w:numId w:val="253"/>
        </w:numPr>
        <w:spacing w:after="120" w:line="240" w:lineRule="atLeas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1</m:t>
        </m:r>
      </m:oMath>
      <w:r w:rsidR="00BB42E7">
        <w:t xml:space="preserve"> (Unimolecular):</w:t>
      </w:r>
    </w:p>
    <w:p w14:paraId="06B064C2" w14:textId="77777777" w:rsidR="00BB42E7" w:rsidRDefault="00BB42E7">
      <w:pPr>
        <w:pStyle w:val="ListParagraph"/>
        <w:numPr>
          <w:ilvl w:val="0"/>
          <w:numId w:val="278"/>
        </w:numPr>
        <w:spacing w:after="120" w:line="240" w:lineRule="atLeast"/>
      </w:pPr>
      <w:r>
        <w:t>Mechanism: Step 1: C-X bond breaks (slow) forming a Carbocation. Step 2: Nucleophile attacks (fast).</w:t>
      </w:r>
    </w:p>
    <w:p w14:paraId="38162C89" w14:textId="77777777" w:rsidR="00BB42E7" w:rsidRDefault="00BB42E7">
      <w:pPr>
        <w:pStyle w:val="ListParagraph"/>
        <w:numPr>
          <w:ilvl w:val="0"/>
          <w:numId w:val="278"/>
        </w:numPr>
        <w:spacing w:after="120" w:line="240" w:lineRule="atLeast"/>
      </w:pPr>
      <w:r>
        <w:t xml:space="preserve">Stability: Depends on Carbocation stability. Hence,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</w:t>
      </w:r>
    </w:p>
    <w:p w14:paraId="45B7573D" w14:textId="77777777" w:rsidR="00BB42E7" w:rsidRDefault="00BB42E7">
      <w:pPr>
        <w:pStyle w:val="ListParagraph"/>
        <w:numPr>
          <w:ilvl w:val="0"/>
          <w:numId w:val="278"/>
        </w:numPr>
        <w:spacing w:after="120" w:line="240" w:lineRule="atLeast"/>
      </w:pPr>
      <w:r>
        <w:t>Stereochemistry: The planar carbocation can be attacked from either side, leading to a 50:50 mix of isomers (Racemization).</w:t>
      </w:r>
    </w:p>
    <w:p w14:paraId="259AA657" w14:textId="77777777" w:rsidR="00BB42E7" w:rsidRDefault="00BB42E7">
      <w:pPr>
        <w:numPr>
          <w:ilvl w:val="0"/>
          <w:numId w:val="254"/>
        </w:numPr>
        <w:spacing w:after="120" w:line="240" w:lineRule="atLeast"/>
      </w:pPr>
      <w:r>
        <w:t>Why are Haloarenes unreactive to Nucleophilic Substitution? Students often struggle to explain this clearly.</w:t>
      </w:r>
    </w:p>
    <w:p w14:paraId="38EC0FA7" w14:textId="77777777" w:rsidR="00BB42E7" w:rsidRDefault="00BB42E7">
      <w:pPr>
        <w:numPr>
          <w:ilvl w:val="0"/>
          <w:numId w:val="255"/>
        </w:numPr>
        <w:spacing w:after="120" w:line="240" w:lineRule="atLeast"/>
      </w:pPr>
      <w:r>
        <w:t>Resonance Effect: The lone pair on the halogen delocalizes into the benzene ring. This creates a partial double bond character in the C-X bond, making it much shorter and stronger than a normal single bond.</w:t>
      </w:r>
    </w:p>
    <w:p w14:paraId="53214E69" w14:textId="77777777" w:rsidR="00BB42E7" w:rsidRDefault="00BB42E7">
      <w:pPr>
        <w:numPr>
          <w:ilvl w:val="0"/>
          <w:numId w:val="255"/>
        </w:numPr>
        <w:spacing w:after="120" w:line="240" w:lineRule="atLeast"/>
      </w:pPr>
      <w:r>
        <w:t xml:space="preserve">Hybridization: The carbon in haloarene is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(more electronegative, holds electrons tighter) vs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 xml:space="preserve"> in haloalkane.</w:t>
      </w:r>
    </w:p>
    <w:p w14:paraId="3FC9FCB1" w14:textId="77777777" w:rsidR="00BB42E7" w:rsidRDefault="00BB42E7">
      <w:pPr>
        <w:numPr>
          <w:ilvl w:val="0"/>
          <w:numId w:val="255"/>
        </w:numPr>
        <w:spacing w:after="120" w:line="240" w:lineRule="atLeast"/>
      </w:pPr>
      <w:r>
        <w:t xml:space="preserve">Instability of Phenyl Cation: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1</m:t>
        </m:r>
      </m:oMath>
      <w:r>
        <w:t xml:space="preserve"> is ruled out because a phenyl cation is extremely unstable.</w:t>
      </w:r>
    </w:p>
    <w:p w14:paraId="42EFF761" w14:textId="77777777" w:rsidR="00BB42E7" w:rsidRDefault="00BB42E7">
      <w:pPr>
        <w:numPr>
          <w:ilvl w:val="0"/>
          <w:numId w:val="256"/>
        </w:numPr>
        <w:spacing w:after="120" w:line="240" w:lineRule="atLeast"/>
      </w:pPr>
      <w:r>
        <w:t xml:space="preserve">Grignard Reagents (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Mg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)</w:t>
      </w:r>
    </w:p>
    <w:p w14:paraId="0AF21F5B" w14:textId="77777777" w:rsidR="00BB42E7" w:rsidRDefault="00BB42E7">
      <w:pPr>
        <w:numPr>
          <w:ilvl w:val="0"/>
          <w:numId w:val="257"/>
        </w:numPr>
        <w:spacing w:after="120" w:line="240" w:lineRule="atLeast"/>
      </w:pPr>
      <w:r>
        <w:t xml:space="preserve">These are organometallic compounds. The Carbon-Magnesium bond is covalent but highly polar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e>
        </m:d>
      </m:oMath>
      <w:r>
        <w:t>.</w:t>
      </w:r>
    </w:p>
    <w:p w14:paraId="05A994BE" w14:textId="77777777" w:rsidR="00BB42E7" w:rsidRDefault="00BB42E7">
      <w:pPr>
        <w:numPr>
          <w:ilvl w:val="0"/>
          <w:numId w:val="257"/>
        </w:numPr>
        <w:spacing w:after="120" w:line="240" w:lineRule="atLeast"/>
      </w:pPr>
      <w:r>
        <w:t xml:space="preserve">Tip: They must be prepared in anhydrous conditions. Even a trace of moisture (proton source) will react with the Grignard reagent to form a hydrocarbon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