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59AD" w14:textId="77777777" w:rsidR="00BB42E7" w:rsidRDefault="00BB42E7" w:rsidP="00BB42E7">
      <w:pPr>
        <w:spacing w:before="330" w:line="271" w:lineRule="auto"/>
      </w:pPr>
      <w:bookmarkStart w:id="145" w:name="d_key_terms_and_keywords_14"/>
      <w:r>
        <w:rPr>
          <w:b/>
          <w:sz w:val="42"/>
        </w:rPr>
        <w:t>D. Key Terms and Keywords</w:t>
      </w:r>
      <w:bookmarkEnd w:id="145"/>
    </w:p>
    <w:p w14:paraId="3B1B244E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>Nucleophilic Substitution: A reaction where a nucleophile replaces a leaving group (like halide) on a carbon atom.</w:t>
      </w:r>
    </w:p>
    <w:p w14:paraId="1B4C91BD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 xml:space="preserve">Chirality: The property of asymmetry where a molecule cannot be superimposed on its mirror image. The carbon atom bonded to four different groups is called a Chiral </w:t>
      </w:r>
      <w:proofErr w:type="spellStart"/>
      <w:r>
        <w:t>Center</w:t>
      </w:r>
      <w:proofErr w:type="spellEnd"/>
      <w:r>
        <w:t>.</w:t>
      </w:r>
    </w:p>
    <w:p w14:paraId="637FCB7C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>Enantiomers: Stereoisomers which are non-superimposable mirror images of each other. They rotate plane-polarized light in opposite directions.</w:t>
      </w:r>
    </w:p>
    <w:p w14:paraId="38AE4D5B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>Racemization: The process of converting an optically active compound into a racemic mixture (optically inactive).</w:t>
      </w:r>
    </w:p>
    <w:p w14:paraId="11DA78D3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>Zaitsev Rule: In dehydrohalogenation, the preferred alkene is the one that has the greater number of alkyl groups attached to the doubly bonded carbon atoms (more substituted).</w:t>
      </w:r>
    </w:p>
    <w:p w14:paraId="0559E530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 xml:space="preserve">Grignard Reagent: An organometallic compound ( </w:t>
      </w:r>
      <m:oMath>
        <m:r>
          <w:rPr>
            <w:rFonts w:ascii="Cambria Math" w:hAnsi="Cambria Math"/>
          </w:rPr>
          <m:t>RMgX</m:t>
        </m:r>
      </m:oMath>
      <w:r>
        <w:t xml:space="preserve"> ) used to form carbon-carbon bonds. Highly reactive towards protons.</w:t>
      </w:r>
    </w:p>
    <w:p w14:paraId="64BA0E32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 xml:space="preserve">Ambident Nucleophile: A nucleophile that can attack through two different sites (e.g., </w:t>
      </w:r>
      <m:oMath>
        <m:r>
          <w:rPr>
            <w:rFonts w:ascii="Cambria Math" w:hAnsi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 xml:space="preserve">can attack via C or </w:t>
      </w:r>
      <w:proofErr w:type="gramStart"/>
      <w:r>
        <w:t>N )</w:t>
      </w:r>
      <w:proofErr w:type="gramEnd"/>
      <w:r>
        <w:t>.</w:t>
      </w:r>
    </w:p>
    <w:p w14:paraId="50BF7100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>Finkelstein Reaction: Preparation of alkyl iodides by reacting alkyl chlorides/bromides with Nal in dry acetone.</w:t>
      </w:r>
    </w:p>
    <w:p w14:paraId="5B5EE8DC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 xml:space="preserve">Swarts Reaction: Preparation of alkyl fluorides by heating alkyl halides with metallic fluorides like </w:t>
      </w:r>
      <m:oMath>
        <m:r>
          <w:rPr>
            <w:rFonts w:ascii="Cambria Math" w:hAnsi="Cambria Math"/>
          </w:rPr>
          <m:t>AgF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63183449" w14:textId="77777777" w:rsidR="00BB42E7" w:rsidRDefault="00BB42E7">
      <w:pPr>
        <w:numPr>
          <w:ilvl w:val="0"/>
          <w:numId w:val="258"/>
        </w:numPr>
        <w:spacing w:after="120" w:line="240" w:lineRule="atLeast"/>
      </w:pPr>
      <w:r>
        <w:t xml:space="preserve">Diazonium Salt: An intermediate ( </w:t>
      </w:r>
      <m:oMath>
        <m:r>
          <w:rPr>
            <w:rFonts w:ascii="Cambria Math" w:hAnsi="Cambria Math"/>
          </w:rPr>
          <m:t>Ar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b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) prepared from aniline, used in Sandmeyer reaction to introduce halogens into benzene rings.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