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D27A" w14:textId="77777777" w:rsidR="00044D52" w:rsidRDefault="00044D52" w:rsidP="00044D52">
      <w:pPr>
        <w:spacing w:before="330" w:line="271" w:lineRule="auto"/>
      </w:pPr>
      <w:bookmarkStart w:id="167" w:name="f_exam_strategy_notes_16"/>
      <w:r>
        <w:rPr>
          <w:b/>
          <w:sz w:val="42"/>
        </w:rPr>
        <w:t>F. Exam Strategy Notes</w:t>
      </w:r>
      <w:bookmarkEnd w:id="167"/>
    </w:p>
    <w:p w14:paraId="38AF8E7A" w14:textId="77777777" w:rsidR="00044D52" w:rsidRDefault="00044D52">
      <w:pPr>
        <w:numPr>
          <w:ilvl w:val="0"/>
          <w:numId w:val="309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Reaction Roadmap: Create a flowchart linking: Alkyl Halide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Alcohol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Aldehyde/Ketone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Acid.</w:t>
      </w:r>
    </w:p>
    <w:p w14:paraId="41F9B756" w14:textId="77777777" w:rsidR="00044D52" w:rsidRDefault="00044D52">
      <w:pPr>
        <w:numPr>
          <w:ilvl w:val="0"/>
          <w:numId w:val="309"/>
        </w:numPr>
        <w:spacing w:after="120" w:line="240" w:lineRule="atLeast"/>
      </w:pPr>
      <w:r>
        <w:t xml:space="preserve">Distinguishing Tests: Master the Tollens, Fehling, and </w:t>
      </w:r>
      <w:proofErr w:type="spellStart"/>
      <w:r>
        <w:t>lodoform</w:t>
      </w:r>
      <w:proofErr w:type="spellEnd"/>
      <w:r>
        <w:t xml:space="preserve"> tests.</w:t>
      </w:r>
    </w:p>
    <w:p w14:paraId="23FB2FFE" w14:textId="77777777" w:rsidR="00044D52" w:rsidRDefault="00044D52">
      <w:pPr>
        <w:numPr>
          <w:ilvl w:val="0"/>
          <w:numId w:val="310"/>
        </w:numPr>
        <w:spacing w:after="120" w:line="240" w:lineRule="atLeast"/>
      </w:pPr>
      <w:r>
        <w:t xml:space="preserve">Question: Distinguish </w:t>
      </w:r>
      <w:proofErr w:type="spellStart"/>
      <w:r>
        <w:t>Propanal</w:t>
      </w:r>
      <w:proofErr w:type="spellEnd"/>
      <w:r>
        <w:t xml:space="preserve"> and Propanone. Answer: </w:t>
      </w:r>
      <w:proofErr w:type="spellStart"/>
      <w:r>
        <w:t>Propanal</w:t>
      </w:r>
      <w:proofErr w:type="spellEnd"/>
      <w:r>
        <w:t xml:space="preserve"> gives </w:t>
      </w:r>
      <w:proofErr w:type="gramStart"/>
      <w:r>
        <w:t>Silver</w:t>
      </w:r>
      <w:proofErr w:type="gramEnd"/>
      <w:r>
        <w:t xml:space="preserve"> mirror with Tollens; Propanone does not.</w:t>
      </w:r>
    </w:p>
    <w:p w14:paraId="766CDD44" w14:textId="77777777" w:rsidR="00044D52" w:rsidRDefault="00044D52">
      <w:pPr>
        <w:numPr>
          <w:ilvl w:val="0"/>
          <w:numId w:val="310"/>
        </w:numPr>
        <w:spacing w:after="120" w:line="240" w:lineRule="atLeast"/>
      </w:pPr>
      <w:r>
        <w:t xml:space="preserve">Question: Distinguish Acetophenone and Benzophenone. Answer: Acetophenone (Methyl ketone) gives Yellow ppt with </w:t>
      </w:r>
      <w:proofErr w:type="spellStart"/>
      <w:r>
        <w:t>lodoform</w:t>
      </w:r>
      <w:proofErr w:type="spellEnd"/>
      <w:r>
        <w:t>; Benzophenone does not.</w:t>
      </w:r>
    </w:p>
    <w:p w14:paraId="49716A2C" w14:textId="77777777" w:rsidR="00044D52" w:rsidRDefault="00044D52">
      <w:pPr>
        <w:numPr>
          <w:ilvl w:val="0"/>
          <w:numId w:val="311"/>
        </w:numPr>
        <w:spacing w:after="120" w:line="240" w:lineRule="atLeast"/>
      </w:pPr>
      <w:r>
        <w:t>Mechanism Practice: Specifically practice Nucleophilic Addition (HCN) and Aldol Condensation.</w:t>
      </w:r>
    </w:p>
    <w:p w14:paraId="1F02E630" w14:textId="77777777" w:rsidR="00044D52" w:rsidRDefault="00044D52">
      <w:pPr>
        <w:numPr>
          <w:ilvl w:val="0"/>
          <w:numId w:val="311"/>
        </w:numPr>
        <w:spacing w:after="120" w:line="240" w:lineRule="atLeast"/>
      </w:pPr>
      <w:r>
        <w:t>Acidity Logic: Always look at the substituents.</w:t>
      </w:r>
    </w:p>
    <w:p w14:paraId="4D458EDC" w14:textId="77777777" w:rsidR="00044D52" w:rsidRDefault="00044D52">
      <w:pPr>
        <w:numPr>
          <w:ilvl w:val="0"/>
          <w:numId w:val="312"/>
        </w:numPr>
        <w:spacing w:after="120" w:line="240" w:lineRule="atLeast"/>
      </w:pPr>
      <w:r>
        <w:t xml:space="preserve">EWG (Halogen,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,CN</m:t>
        </m:r>
      </m:oMath>
      <w:r>
        <w:rPr>
          <w:rFonts w:ascii="Georgia" w:eastAsia="Georgia" w:hAnsi="Georgia" w:cs="Georgia"/>
        </w:rPr>
        <w:t xml:space="preserve"> )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Increases Acidity.</w:t>
      </w:r>
    </w:p>
    <w:p w14:paraId="00867C72" w14:textId="77777777" w:rsidR="00044D52" w:rsidRDefault="00044D52">
      <w:pPr>
        <w:numPr>
          <w:ilvl w:val="0"/>
          <w:numId w:val="312"/>
        </w:numPr>
        <w:spacing w:after="120" w:line="240" w:lineRule="atLeast"/>
      </w:pPr>
      <w:r>
        <w:t xml:space="preserve">EDG (Alkyl, </w:t>
      </w:r>
      <m:oMath>
        <m:r>
          <m:rPr>
            <m:sty m:val="p"/>
          </m:rPr>
          <w:rPr>
            <w:rFonts w:ascii="Cambria Math" w:hAnsi="Cambria Math"/>
          </w:rPr>
          <m:t>OH,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ascii="Georgia" w:eastAsia="Georgia" w:hAnsi="Georgia" w:cs="Georgia"/>
        </w:rPr>
        <w:t xml:space="preserve"> )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Decreases Acidity.</w:t>
      </w:r>
    </w:p>
    <w:p w14:paraId="4260D1D1" w14:textId="77777777" w:rsidR="00044D52" w:rsidRDefault="00044D52">
      <w:pPr>
        <w:numPr>
          <w:ilvl w:val="0"/>
          <w:numId w:val="312"/>
        </w:numPr>
        <w:spacing w:after="120" w:line="240" w:lineRule="atLeast"/>
      </w:pPr>
      <w:r>
        <w:t xml:space="preserve">Closer the group to </w:t>
      </w:r>
      <w:proofErr w:type="gramStart"/>
      <w:r>
        <w:t>COOH ,</w:t>
      </w:r>
      <w:proofErr w:type="gramEnd"/>
      <w:r>
        <w:t xml:space="preserve"> stronger the effect.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