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81025" w14:textId="77777777" w:rsidR="00592BE8" w:rsidRDefault="00592BE8" w:rsidP="00592BE8">
      <w:pPr>
        <w:spacing w:before="330" w:line="271" w:lineRule="auto"/>
      </w:pPr>
      <w:bookmarkStart w:id="234" w:name="f_exam_strategy_notes_21"/>
      <w:r>
        <w:rPr>
          <w:b/>
          <w:sz w:val="42"/>
        </w:rPr>
        <w:t>F. Exam Strategy Notes</w:t>
      </w:r>
      <w:bookmarkEnd w:id="234"/>
    </w:p>
    <w:p w14:paraId="1FC044B8" w14:textId="77777777" w:rsidR="00592BE8" w:rsidRDefault="00592BE8">
      <w:pPr>
        <w:numPr>
          <w:ilvl w:val="0"/>
          <w:numId w:val="392"/>
        </w:numPr>
        <w:spacing w:after="120" w:line="240" w:lineRule="atLeast"/>
      </w:pPr>
      <w:r>
        <w:t>Anomalous Properties: Focus on the first element of each group (B, C, N, O, F). Questions often ask "Why does X behave differently?" Keywords: Small size, High Electronegativity, Absence of d-orbitals.</w:t>
      </w:r>
    </w:p>
    <w:p w14:paraId="2E190230" w14:textId="77777777" w:rsidR="00592BE8" w:rsidRDefault="00592BE8">
      <w:pPr>
        <w:numPr>
          <w:ilvl w:val="0"/>
          <w:numId w:val="392"/>
        </w:numPr>
        <w:spacing w:after="120" w:line="240" w:lineRule="atLeast"/>
      </w:pPr>
      <w:r>
        <w:t>Trend Exceptions:</w:t>
      </w:r>
    </w:p>
    <w:p w14:paraId="1075BFE3" w14:textId="77777777" w:rsidR="00592BE8" w:rsidRDefault="00592BE8">
      <w:pPr>
        <w:numPr>
          <w:ilvl w:val="0"/>
          <w:numId w:val="393"/>
        </w:numPr>
        <w:spacing w:after="120" w:line="240" w:lineRule="atLeast"/>
      </w:pPr>
      <w:r>
        <w:t xml:space="preserve">Electron Gain Enthalpy: </w:t>
      </w:r>
      <m:oMath>
        <m:r>
          <w:rPr>
            <w:rFonts w:ascii="Cambria Math" w:hAnsi="Cambria Math"/>
          </w:rPr>
          <m:t>Cl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O</m:t>
        </m:r>
      </m:oMath>
      <w:r>
        <w:t>.</w:t>
      </w:r>
    </w:p>
    <w:p w14:paraId="104F0FC8" w14:textId="77777777" w:rsidR="00592BE8" w:rsidRDefault="00592BE8">
      <w:pPr>
        <w:numPr>
          <w:ilvl w:val="0"/>
          <w:numId w:val="393"/>
        </w:numPr>
        <w:spacing w:after="120" w:line="240" w:lineRule="atLeast"/>
      </w:pPr>
      <w:r>
        <w:t xml:space="preserve">Boiling Point: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O,HF</m:t>
        </m:r>
      </m:oMath>
      <w:r>
        <w:t xml:space="preserve"> are unusually high (H-bonding).</w:t>
      </w:r>
    </w:p>
    <w:p w14:paraId="441D147E" w14:textId="77777777" w:rsidR="00592BE8" w:rsidRDefault="00592BE8">
      <w:pPr>
        <w:numPr>
          <w:ilvl w:val="0"/>
          <w:numId w:val="393"/>
        </w:numPr>
        <w:spacing w:after="120" w:line="240" w:lineRule="atLeast"/>
      </w:pPr>
      <w:r>
        <w:t>Oxidation States: Stability of lower states (+1 for TI, +2 for Pb, +3 for Bi) due to Inert Pair Effect.</w:t>
      </w:r>
    </w:p>
    <w:p w14:paraId="2AA7FF64" w14:textId="77777777" w:rsidR="00592BE8" w:rsidRDefault="00592BE8">
      <w:pPr>
        <w:numPr>
          <w:ilvl w:val="0"/>
          <w:numId w:val="394"/>
        </w:numPr>
        <w:spacing w:after="120" w:line="240" w:lineRule="atLeast"/>
      </w:pPr>
      <w:r>
        <w:t>Structures: Practice drawing:</w:t>
      </w:r>
    </w:p>
    <w:p w14:paraId="09FD5C19" w14:textId="77777777" w:rsidR="00592BE8" w:rsidRDefault="00592BE8">
      <w:pPr>
        <w:numPr>
          <w:ilvl w:val="0"/>
          <w:numId w:val="395"/>
        </w:numPr>
        <w:spacing w:after="120" w:line="240" w:lineRule="atLeast"/>
      </w:pPr>
      <w:r>
        <w:lastRenderedPageBreak/>
        <w:t xml:space="preserve">Oxoacids of P and </w:t>
      </w:r>
      <m:oMath>
        <m:r>
          <m:rPr>
            <m:sty m:val="p"/>
          </m:rPr>
          <w:rPr>
            <w:rFonts w:ascii="Cambria Math" w:hAnsi="Cambria Math"/>
          </w:rPr>
          <m:t>S</m:t>
        </m:r>
        <m:d>
          <m:dPr>
            <m:endChr m:val="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PO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</m:e>
        </m:d>
      </m:oMath>
      <w:r>
        <w:t>, etc.).</w:t>
      </w:r>
    </w:p>
    <w:p w14:paraId="57C2EA78" w14:textId="77777777" w:rsidR="00592BE8" w:rsidRDefault="00592BE8">
      <w:pPr>
        <w:numPr>
          <w:ilvl w:val="0"/>
          <w:numId w:val="395"/>
        </w:numPr>
        <w:spacing w:after="120" w:line="240" w:lineRule="atLeast"/>
      </w:pPr>
      <w:r>
        <w:t xml:space="preserve">Interhalogens ( </w:t>
      </w:r>
      <m:oMath>
        <m:r>
          <w:rPr>
            <w:rFonts w:ascii="Cambria Math" w:hAnsi="Cambria Math"/>
          </w:rPr>
          <m:t>Cl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T</m:t>
        </m:r>
      </m:oMath>
      <w:r>
        <w:t xml:space="preserve">-shape, </w:t>
      </w:r>
      <m:oMath>
        <m:r>
          <w:rPr>
            <w:rFonts w:ascii="Cambria Math" w:hAnsi="Cambria Math"/>
          </w:rPr>
          <m:t>Br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</m:oMath>
      <w:r>
        <w:t xml:space="preserve"> Sq Pyramidal).</w:t>
      </w:r>
    </w:p>
    <w:p w14:paraId="6BA9F10E" w14:textId="77777777" w:rsidR="00592BE8" w:rsidRDefault="00592BE8">
      <w:pPr>
        <w:numPr>
          <w:ilvl w:val="0"/>
          <w:numId w:val="395"/>
        </w:numPr>
        <w:spacing w:after="120" w:line="240" w:lineRule="atLeast"/>
      </w:pPr>
      <w:r>
        <w:t xml:space="preserve">Xenon compounds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XeF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Linear,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XeF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 Sq Planar).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