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E6D2" w14:textId="77777777" w:rsidR="00E95522" w:rsidRDefault="00E95522" w:rsidP="00E95522">
      <w:pPr>
        <w:spacing w:before="330" w:line="271" w:lineRule="auto"/>
      </w:pPr>
      <w:bookmarkStart w:id="16" w:name="b_in_depth_explanation_analysis_2"/>
      <w:r>
        <w:rPr>
          <w:b/>
          <w:sz w:val="42"/>
        </w:rPr>
        <w:t>B. In-Depth Explanation &amp; Analysis</w:t>
      </w:r>
      <w:bookmarkEnd w:id="16"/>
    </w:p>
    <w:p w14:paraId="7C826CC6" w14:textId="0D045A86" w:rsidR="00E95522" w:rsidRPr="00E95522" w:rsidRDefault="00E95522" w:rsidP="00B961C1">
      <w:pPr>
        <w:spacing w:before="330" w:line="271" w:lineRule="auto"/>
      </w:pPr>
      <w:r w:rsidRPr="00E95522">
        <w:rPr>
          <w:b/>
          <w:bCs/>
        </w:rPr>
        <w:t>1. The Cause of Periodicity</w:t>
      </w:r>
      <w:r w:rsidR="00B961C1">
        <w:t xml:space="preserve"> </w:t>
      </w:r>
      <w:r w:rsidRPr="00E95522">
        <w:t>Why do properties repeat? Because electronic configurations repeat.</w:t>
      </w:r>
    </w:p>
    <w:p w14:paraId="3293EC67" w14:textId="026327F5" w:rsidR="00E95522" w:rsidRPr="00E95522" w:rsidRDefault="00E95522">
      <w:pPr>
        <w:numPr>
          <w:ilvl w:val="0"/>
          <w:numId w:val="36"/>
        </w:numPr>
        <w:spacing w:after="120" w:line="240" w:lineRule="atLeast"/>
      </w:pPr>
      <w:r w:rsidRPr="00E95522">
        <w:rPr>
          <w:b/>
          <w:bCs/>
        </w:rPr>
        <w:t xml:space="preserve">Effective Nuclear Charge </w:t>
      </w:r>
      <w:r w:rsidR="00B961C1" w:rsidRPr="00B961C1">
        <w:rPr>
          <w:b/>
          <w:bCs/>
        </w:rPr>
        <w:t xml:space="preserve">(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w:rPr>
                <w:b/>
                <w:bCs/>
              </w:rPr>
              <m:t>eff </m:t>
            </m:r>
          </m:sub>
        </m:sSub>
      </m:oMath>
      <w:r w:rsidR="00B961C1" w:rsidRPr="00B961C1">
        <w:rPr>
          <w:b/>
          <w:bCs/>
        </w:rPr>
        <w:t xml:space="preserve"> ): </w:t>
      </w:r>
      <w:r w:rsidR="00B961C1" w:rsidRPr="00B961C1">
        <w:rPr>
          <w:lang w:val="en-US"/>
        </w:rPr>
        <w:t xml:space="preserve">The net positive charge experienced by an outer electron. Across a period, protons increase, but shielding (inner electrons) remains constant. So,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nor/>
              </m:rPr>
              <w:rPr>
                <w:lang w:val="en-US"/>
              </w:rPr>
              <m:t>eff </m:t>
            </m:r>
          </m:sub>
        </m:sSub>
      </m:oMath>
      <w:r w:rsidR="00B961C1" w:rsidRPr="00B961C1">
        <w:rPr>
          <w:lang w:val="en-US"/>
        </w:rPr>
        <w:t xml:space="preserve"> increases, pulling the shell closer.</w:t>
      </w:r>
    </w:p>
    <w:p w14:paraId="6FE10AA6" w14:textId="77777777" w:rsidR="00E95522" w:rsidRPr="00E95522" w:rsidRDefault="00E95522">
      <w:pPr>
        <w:numPr>
          <w:ilvl w:val="0"/>
          <w:numId w:val="36"/>
        </w:numPr>
        <w:spacing w:after="120" w:line="240" w:lineRule="atLeast"/>
      </w:pPr>
      <w:r w:rsidRPr="00E95522">
        <w:rPr>
          <w:b/>
          <w:bCs/>
        </w:rPr>
        <w:t>Shielding (Screening) Effect:</w:t>
      </w:r>
      <w:r w:rsidRPr="00E95522">
        <w:t xml:space="preserve"> Inner electrons repel outer electrons, "shielding" them from the nucleus. Down a group, new shells increase shielding significantly, overpowering the nuclear charge increase.</w:t>
      </w:r>
    </w:p>
    <w:p w14:paraId="27627D57" w14:textId="77777777" w:rsidR="00E95522" w:rsidRPr="00E95522" w:rsidRDefault="00E95522" w:rsidP="00E95522">
      <w:pPr>
        <w:spacing w:after="120" w:line="240" w:lineRule="atLeast"/>
      </w:pPr>
      <w:r w:rsidRPr="00E95522">
        <w:rPr>
          <w:b/>
          <w:bCs/>
        </w:rPr>
        <w:t>2. Trends in Ionization Enthalpy (IE)</w:t>
      </w:r>
    </w:p>
    <w:p w14:paraId="086F2FFA" w14:textId="77777777" w:rsidR="00E95522" w:rsidRPr="00E95522" w:rsidRDefault="00E95522">
      <w:pPr>
        <w:numPr>
          <w:ilvl w:val="0"/>
          <w:numId w:val="37"/>
        </w:numPr>
        <w:spacing w:after="120" w:line="240" w:lineRule="atLeast"/>
      </w:pPr>
      <w:r w:rsidRPr="00E95522">
        <w:rPr>
          <w:b/>
          <w:bCs/>
        </w:rPr>
        <w:t>Definition:</w:t>
      </w:r>
      <w:r w:rsidRPr="00E95522">
        <w:t xml:space="preserve"> Energy required to remove the most loosely bound electron from an isolated gaseous atom.</w:t>
      </w:r>
    </w:p>
    <w:p w14:paraId="2C90343B" w14:textId="39120CA9" w:rsidR="00E95522" w:rsidRPr="00E95522" w:rsidRDefault="00E95522">
      <w:pPr>
        <w:numPr>
          <w:ilvl w:val="0"/>
          <w:numId w:val="37"/>
        </w:numPr>
        <w:spacing w:after="120" w:line="240" w:lineRule="atLeast"/>
        <w:rPr>
          <w:lang w:val="en-US"/>
        </w:rPr>
      </w:pPr>
      <w:r w:rsidRPr="00E95522">
        <w:rPr>
          <w:b/>
          <w:bCs/>
        </w:rPr>
        <w:t>Trend</w:t>
      </w:r>
      <w:r w:rsidR="00FD0966">
        <w:rPr>
          <w:b/>
          <w:bCs/>
        </w:rPr>
        <w:t>:</w:t>
      </w:r>
      <w:r w:rsidR="00FD0966" w:rsidRPr="00FD0966">
        <w:rPr>
          <w:lang w:val="en-US"/>
        </w:rPr>
        <w:t xml:space="preserve"> Increases </w:t>
      </w:r>
      <w:proofErr w:type="gramStart"/>
      <w:r w:rsidR="00FD0966" w:rsidRPr="00FD0966">
        <w:rPr>
          <w:lang w:val="en-US"/>
        </w:rPr>
        <w:t>→ ,</w:t>
      </w:r>
      <w:proofErr w:type="gramEnd"/>
      <w:r w:rsidR="00FD0966" w:rsidRPr="00FD0966">
        <w:rPr>
          <w:lang w:val="en-US"/>
        </w:rPr>
        <w:t xml:space="preserve"> Decreases ↓</w:t>
      </w:r>
    </w:p>
    <w:p w14:paraId="33308DEE" w14:textId="77777777" w:rsidR="00E95522" w:rsidRPr="00E95522" w:rsidRDefault="00E95522">
      <w:pPr>
        <w:numPr>
          <w:ilvl w:val="0"/>
          <w:numId w:val="37"/>
        </w:numPr>
        <w:spacing w:after="120" w:line="240" w:lineRule="atLeast"/>
      </w:pPr>
      <w:r w:rsidRPr="00E95522">
        <w:rPr>
          <w:b/>
          <w:bCs/>
        </w:rPr>
        <w:t>Crucial Exceptions:</w:t>
      </w:r>
    </w:p>
    <w:p w14:paraId="69F27CAB" w14:textId="34B2D91F" w:rsidR="00FD0966" w:rsidRPr="00FD0966" w:rsidRDefault="00E95522">
      <w:pPr>
        <w:numPr>
          <w:ilvl w:val="1"/>
          <w:numId w:val="37"/>
        </w:numPr>
        <w:spacing w:after="120" w:line="240" w:lineRule="atLeast"/>
        <w:rPr>
          <w:lang w:val="en-US"/>
        </w:rPr>
      </w:pPr>
      <w:r w:rsidRPr="00E95522">
        <w:rPr>
          <w:b/>
          <w:bCs/>
        </w:rPr>
        <w:t>Beryllium vs. Boron:</w:t>
      </w:r>
      <w:r w:rsidRPr="00E95522">
        <w:t xml:space="preserve"> </w:t>
      </w:r>
      <w:r w:rsidR="00FD0966" w:rsidRPr="00FD0966">
        <w:rPr>
          <w:lang w:val="en-US"/>
        </w:rPr>
        <w:t xml:space="preserve">Beryllium vs. Boron: Be ( </w:t>
      </w:r>
      <m:oMath>
        <m:r>
          <m:rPr>
            <m:sty m:val="p"/>
          </m:rP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FD0966" w:rsidRPr="00FD0966">
        <w:rPr>
          <w:lang w:val="en-US"/>
        </w:rPr>
        <w:t xml:space="preserve"> ) has higher IE than B ( </w:t>
      </w:r>
      <m:oMath>
        <m:r>
          <m:rPr>
            <m:sty m:val="p"/>
          </m:rP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="00FD0966" w:rsidRPr="00FD0966">
        <w:rPr>
          <w:lang w:val="en-US"/>
        </w:rPr>
        <w:t xml:space="preserve"> ) because the </w:t>
      </w:r>
      <m:oMath>
        <m:r>
          <w:rPr>
            <w:rFonts w:ascii="Cambria Math" w:hAnsi="Cambria Math"/>
            <w:lang w:val="en-US"/>
          </w:rPr>
          <m:t>s</m:t>
        </m:r>
      </m:oMath>
      <w:r w:rsidR="00FD0966" w:rsidRPr="00FD0966">
        <w:rPr>
          <w:lang w:val="en-US"/>
        </w:rPr>
        <w:t xml:space="preserve">-orbital is more penetrating (closer to nucleus) and stable than </w:t>
      </w:r>
      <m:oMath>
        <m:r>
          <w:rPr>
            <w:rFonts w:ascii="Cambria Math" w:hAnsi="Cambria Math"/>
            <w:lang w:val="en-US"/>
          </w:rPr>
          <m:t>p</m:t>
        </m:r>
      </m:oMath>
      <w:r w:rsidR="00FD0966" w:rsidRPr="00FD0966">
        <w:rPr>
          <w:lang w:val="en-US"/>
        </w:rPr>
        <w:t>.</w:t>
      </w:r>
    </w:p>
    <w:p w14:paraId="16A58C55" w14:textId="670ABD5B" w:rsidR="00FD0966" w:rsidRPr="00FD0966" w:rsidRDefault="00FD0966">
      <w:pPr>
        <w:numPr>
          <w:ilvl w:val="1"/>
          <w:numId w:val="37"/>
        </w:numPr>
        <w:tabs>
          <w:tab w:val="num" w:pos="1080"/>
        </w:tabs>
        <w:spacing w:after="120" w:line="240" w:lineRule="atLeast"/>
        <w:rPr>
          <w:lang w:val="en-US"/>
        </w:rPr>
      </w:pPr>
      <w:r w:rsidRPr="00FD0966">
        <w:rPr>
          <w:b/>
          <w:bCs/>
          <w:lang w:val="en-US"/>
        </w:rPr>
        <w:t>Nitrogen vs. Oxygen:</w:t>
      </w:r>
      <w:r w:rsidRPr="00FD0966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e>
        </m:d>
      </m:oMath>
      <w:r w:rsidRPr="00FD0966">
        <w:rPr>
          <w:lang w:val="en-US"/>
        </w:rPr>
        <w:t xml:space="preserve"> has higher IE than </w:t>
      </w:r>
      <m:oMath>
        <m:r>
          <m:rPr>
            <m:sty m:val="p"/>
          </m:rPr>
          <w:rPr>
            <w:rFonts w:ascii="Cambria Math" w:hAnsi="Cambria Math"/>
            <w:lang w:val="en-US"/>
          </w:rPr>
          <m:t>O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4</m:t>
                </m:r>
              </m:sup>
            </m:sSup>
          </m:e>
        </m:d>
      </m:oMath>
      <w:r w:rsidRPr="00FD0966">
        <w:rPr>
          <w:lang w:val="en-US"/>
        </w:rPr>
        <w:t xml:space="preserve"> because the half-filled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FD0966">
        <w:rPr>
          <w:lang w:val="en-US"/>
        </w:rPr>
        <w:t xml:space="preserve"> configuration is extra stable.</w:t>
      </w:r>
    </w:p>
    <w:p w14:paraId="583A2218" w14:textId="001A821D" w:rsidR="00E95522" w:rsidRPr="00E95522" w:rsidRDefault="00E95522" w:rsidP="00FD0966">
      <w:pPr>
        <w:spacing w:after="120" w:line="240" w:lineRule="atLeast"/>
      </w:pPr>
      <w:r w:rsidRPr="00E95522">
        <w:rPr>
          <w:b/>
          <w:bCs/>
        </w:rPr>
        <w:t xml:space="preserve">3. Electron Gain Enthalpy </w:t>
      </w:r>
      <w:r w:rsidR="00FD0966" w:rsidRPr="00FD0966">
        <w:rPr>
          <w:b/>
          <w:bCs/>
          <w:lang w:val="en-US"/>
        </w:rPr>
        <w:t xml:space="preserve">( </w:t>
      </w:r>
      <m:oMath>
        <m:sSub>
          <m:sSubPr>
            <m:ctrlPr>
              <w:rPr>
                <w:rFonts w:ascii="Cambria Math" w:hAnsi="Cambria Math"/>
                <w:b/>
                <w:bCs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eg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H</m:t>
        </m:r>
      </m:oMath>
      <w:r w:rsidR="00FD0966" w:rsidRPr="00FD0966">
        <w:rPr>
          <w:b/>
          <w:bCs/>
          <w:lang w:val="en-US"/>
        </w:rPr>
        <w:t xml:space="preserve"> ) </w:t>
      </w:r>
      <w:r w:rsidRPr="00E95522">
        <w:rPr>
          <w:b/>
          <w:bCs/>
        </w:rPr>
        <w:t>vs. Electronegativity</w:t>
      </w:r>
    </w:p>
    <w:p w14:paraId="493AE4D6" w14:textId="77777777" w:rsidR="00E95522" w:rsidRPr="00E95522" w:rsidRDefault="00E95522">
      <w:pPr>
        <w:numPr>
          <w:ilvl w:val="0"/>
          <w:numId w:val="38"/>
        </w:numPr>
        <w:spacing w:after="120" w:line="240" w:lineRule="atLeast"/>
      </w:pPr>
      <w:r w:rsidRPr="00E95522">
        <w:rPr>
          <w:b/>
          <w:bCs/>
        </w:rPr>
        <w:t>Electronegativity:</w:t>
      </w:r>
      <w:r w:rsidRPr="00E95522">
        <w:t xml:space="preserve"> A qualitative </w:t>
      </w:r>
      <w:r w:rsidRPr="00E95522">
        <w:rPr>
          <w:i/>
          <w:iCs/>
        </w:rPr>
        <w:t>tendency</w:t>
      </w:r>
      <w:r w:rsidRPr="00E95522">
        <w:t xml:space="preserve"> to attract shared electrons in a bond. (Fluorine is king).</w:t>
      </w:r>
    </w:p>
    <w:p w14:paraId="7369B1B7" w14:textId="77777777" w:rsidR="00E95522" w:rsidRPr="00E95522" w:rsidRDefault="00E95522">
      <w:pPr>
        <w:numPr>
          <w:ilvl w:val="0"/>
          <w:numId w:val="38"/>
        </w:numPr>
        <w:spacing w:after="120" w:line="240" w:lineRule="atLeast"/>
      </w:pPr>
      <w:r w:rsidRPr="00E95522">
        <w:rPr>
          <w:b/>
          <w:bCs/>
        </w:rPr>
        <w:t>Electron Gain Enthalpy:</w:t>
      </w:r>
      <w:r w:rsidRPr="00E95522">
        <w:t xml:space="preserve"> A quantitative </w:t>
      </w:r>
      <w:r w:rsidRPr="00E95522">
        <w:rPr>
          <w:i/>
          <w:iCs/>
        </w:rPr>
        <w:t>energy change</w:t>
      </w:r>
      <w:r w:rsidRPr="00E95522">
        <w:t xml:space="preserve"> when an atom accepts an electron.</w:t>
      </w:r>
    </w:p>
    <w:p w14:paraId="38D3C0BA" w14:textId="2BBE6D86" w:rsidR="00E95522" w:rsidRPr="00E95522" w:rsidRDefault="00E95522">
      <w:pPr>
        <w:numPr>
          <w:ilvl w:val="0"/>
          <w:numId w:val="38"/>
        </w:numPr>
        <w:spacing w:after="120" w:line="240" w:lineRule="atLeast"/>
      </w:pPr>
      <w:r w:rsidRPr="00E95522">
        <w:rPr>
          <w:b/>
          <w:bCs/>
        </w:rPr>
        <w:lastRenderedPageBreak/>
        <w:t>The Chlorine-Fluorine Anomaly:</w:t>
      </w:r>
      <w:r w:rsidRPr="00E95522">
        <w:t xml:space="preserve"> You'd expect F to have the most negative </w:t>
      </w:r>
      <w:r w:rsidR="00A03760">
        <w:t xml:space="preserve">electron gain enthalpy. </w:t>
      </w:r>
      <w:r w:rsidRPr="00E95522">
        <w:t xml:space="preserve">But </w:t>
      </w:r>
      <w:r w:rsidRPr="00E95522">
        <w:rPr>
          <w:b/>
          <w:bCs/>
        </w:rPr>
        <w:t>Chlorine</w:t>
      </w:r>
      <w:r w:rsidRPr="00E95522">
        <w:t xml:space="preserve"> does. Why? F is so tiny that its electron cloud is crowded; adding another electron causes repulsion. Cl is larger and accommodates the new electron easily.</w:t>
      </w:r>
    </w:p>
    <w:p w14:paraId="0CABAC2C" w14:textId="0C24B50E" w:rsidR="00B30D22" w:rsidRDefault="00416CFC" w:rsidP="00B30D22">
      <w:pPr>
        <w:spacing w:after="120" w:line="240" w:lineRule="atLeast"/>
      </w:pPr>
      <w:r>
        <w:rPr>
          <w:noProof/>
        </w:rPr>
        <w:drawing>
          <wp:inline distT="0" distB="0" distL="0" distR="0" wp14:anchorId="4595F624" wp14:editId="0A08E1B7">
            <wp:extent cx="5731510" cy="3820795"/>
            <wp:effectExtent l="0" t="0" r="2540" b="8255"/>
            <wp:docPr id="3285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C172" w14:textId="270E2690" w:rsidR="00E6157B" w:rsidRPr="00E6157B" w:rsidRDefault="00E6157B" w:rsidP="00E6157B">
      <w:pPr>
        <w:spacing w:after="120" w:line="240" w:lineRule="atLeast"/>
        <w:rPr>
          <w:b/>
          <w:bCs/>
        </w:rPr>
      </w:pPr>
      <w:r w:rsidRPr="00E6157B">
        <w:rPr>
          <w:b/>
          <w:bCs/>
        </w:rPr>
        <w:t xml:space="preserve">4. IUPAC Nomenclature </w:t>
      </w:r>
      <w:r w:rsidRPr="001B6F30">
        <w:rPr>
          <w:b/>
          <w:bCs/>
        </w:rPr>
        <w:t xml:space="preserve">( </w:t>
      </w:r>
      <m:oMath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&gt;100</m:t>
        </m:r>
      </m:oMath>
      <w:r w:rsidRPr="001B6F30">
        <w:rPr>
          <w:b/>
          <w:bCs/>
        </w:rPr>
        <w:t xml:space="preserve"> )</w:t>
      </w:r>
    </w:p>
    <w:p w14:paraId="6B5EFA4B" w14:textId="1D6DB399" w:rsidR="001B6F30" w:rsidRPr="001B6F30" w:rsidRDefault="00E6157B">
      <w:pPr>
        <w:numPr>
          <w:ilvl w:val="0"/>
          <w:numId w:val="39"/>
        </w:numPr>
        <w:spacing w:after="120" w:line="240" w:lineRule="atLeast"/>
        <w:rPr>
          <w:b/>
          <w:bCs/>
          <w:lang w:val="en-US"/>
        </w:rPr>
      </w:pPr>
      <w:r w:rsidRPr="00E6157B">
        <w:rPr>
          <w:b/>
          <w:bCs/>
        </w:rPr>
        <w:t>Roots</w:t>
      </w:r>
      <w:r w:rsidR="001B6F30" w:rsidRPr="001B6F30">
        <w:rPr>
          <w:b/>
          <w:bCs/>
          <w:lang w:val="en-US"/>
        </w:rPr>
        <w:t xml:space="preserve">: </w:t>
      </w:r>
      <m:oMath>
        <m:r>
          <m:rPr>
            <m:sty m:val="b"/>
          </m:rPr>
          <w:rPr>
            <w:rFonts w:ascii="Cambria Math" w:hAnsi="Cambria Math"/>
            <w:lang w:val="en-US"/>
          </w:rPr>
          <m:t>0=</m:t>
        </m:r>
      </m:oMath>
      <w:r w:rsidR="001B6F30" w:rsidRPr="001B6F30">
        <w:rPr>
          <w:b/>
          <w:bCs/>
          <w:lang w:val="en-US"/>
        </w:rPr>
        <w:t xml:space="preserve"> nil, </w:t>
      </w:r>
      <m:oMath>
        <m:r>
          <m:rPr>
            <m:sty m:val="b"/>
          </m:rPr>
          <w:rPr>
            <w:rFonts w:ascii="Cambria Math" w:hAnsi="Cambria Math"/>
            <w:lang w:val="en-US"/>
          </w:rPr>
          <m:t>1=</m:t>
        </m:r>
      </m:oMath>
      <w:r w:rsidR="001B6F30" w:rsidRPr="001B6F30">
        <w:rPr>
          <w:b/>
          <w:bCs/>
          <w:lang w:val="en-US"/>
        </w:rPr>
        <w:t xml:space="preserve"> un, </w:t>
      </w:r>
      <m:oMath>
        <m:r>
          <m:rPr>
            <m:sty m:val="b"/>
          </m:rPr>
          <w:rPr>
            <w:rFonts w:ascii="Cambria Math" w:hAnsi="Cambria Math"/>
            <w:lang w:val="en-US"/>
          </w:rPr>
          <m:t>2=</m:t>
        </m:r>
      </m:oMath>
      <w:r w:rsidR="001B6F30" w:rsidRPr="001B6F30">
        <w:rPr>
          <w:b/>
          <w:bCs/>
          <w:lang w:val="en-US"/>
        </w:rPr>
        <w:t xml:space="preserve"> bi, </w:t>
      </w:r>
      <m:oMath>
        <m:r>
          <m:rPr>
            <m:sty m:val="b"/>
          </m:rPr>
          <w:rPr>
            <w:rFonts w:ascii="Cambria Math" w:hAnsi="Cambria Math"/>
            <w:lang w:val="en-US"/>
          </w:rPr>
          <m:t>3=</m:t>
        </m:r>
      </m:oMath>
      <w:r w:rsidR="001B6F30" w:rsidRPr="001B6F30">
        <w:rPr>
          <w:b/>
          <w:bCs/>
          <w:lang w:val="en-US"/>
        </w:rPr>
        <w:t xml:space="preserve"> tri, </w:t>
      </w:r>
      <m:oMath>
        <m:r>
          <m:rPr>
            <m:sty m:val="b"/>
          </m:rPr>
          <w:rPr>
            <w:rFonts w:ascii="Cambria Math" w:hAnsi="Cambria Math"/>
            <w:lang w:val="en-US"/>
          </w:rPr>
          <m:t>4=</m:t>
        </m:r>
      </m:oMath>
      <w:r w:rsidR="001B6F30" w:rsidRPr="001B6F30">
        <w:rPr>
          <w:b/>
          <w:bCs/>
          <w:lang w:val="en-US"/>
        </w:rPr>
        <w:t xml:space="preserve"> quad, </w:t>
      </w:r>
      <m:oMath>
        <m:r>
          <m:rPr>
            <m:sty m:val="b"/>
          </m:rPr>
          <w:rPr>
            <w:rFonts w:ascii="Cambria Math" w:hAnsi="Cambria Math"/>
            <w:lang w:val="en-US"/>
          </w:rPr>
          <m:t>5=</m:t>
        </m:r>
      </m:oMath>
      <w:r w:rsidR="001B6F30" w:rsidRPr="001B6F30">
        <w:rPr>
          <w:b/>
          <w:bCs/>
          <w:lang w:val="en-US"/>
        </w:rPr>
        <w:t xml:space="preserve"> pent, </w:t>
      </w:r>
      <m:oMath>
        <m:r>
          <m:rPr>
            <m:sty m:val="b"/>
          </m:rPr>
          <w:rPr>
            <w:rFonts w:ascii="Cambria Math" w:hAnsi="Cambria Math"/>
            <w:lang w:val="en-US"/>
          </w:rPr>
          <m:t>6=</m:t>
        </m:r>
      </m:oMath>
      <w:r w:rsidR="001B6F30" w:rsidRPr="001B6F30">
        <w:rPr>
          <w:b/>
          <w:bCs/>
          <w:lang w:val="en-US"/>
        </w:rPr>
        <w:t xml:space="preserve"> hex, </w:t>
      </w:r>
      <m:oMath>
        <m:r>
          <m:rPr>
            <m:sty m:val="b"/>
          </m:rPr>
          <w:rPr>
            <w:rFonts w:ascii="Cambria Math" w:hAnsi="Cambria Math"/>
            <w:lang w:val="en-US"/>
          </w:rPr>
          <m:t>7=</m:t>
        </m:r>
      </m:oMath>
      <w:r w:rsidR="001B6F30" w:rsidRPr="001B6F30">
        <w:rPr>
          <w:b/>
          <w:bCs/>
          <w:lang w:val="en-US"/>
        </w:rPr>
        <w:t xml:space="preserve"> sept, </w:t>
      </w:r>
      <m:oMath>
        <m:r>
          <m:rPr>
            <m:sty m:val="b"/>
          </m:rPr>
          <w:rPr>
            <w:rFonts w:ascii="Cambria Math" w:hAnsi="Cambria Math"/>
            <w:lang w:val="en-US"/>
          </w:rPr>
          <m:t>8=</m:t>
        </m:r>
      </m:oMath>
      <w:r w:rsidR="001B6F30" w:rsidRPr="001B6F30">
        <w:rPr>
          <w:b/>
          <w:bCs/>
          <w:lang w:val="en-US"/>
        </w:rPr>
        <w:t xml:space="preserve"> oct, </w:t>
      </w:r>
      <m:oMath>
        <m:r>
          <m:rPr>
            <m:sty m:val="b"/>
          </m:rPr>
          <w:rPr>
            <w:rFonts w:ascii="Cambria Math" w:hAnsi="Cambria Math"/>
            <w:lang w:val="en-US"/>
          </w:rPr>
          <m:t>9=</m:t>
        </m:r>
      </m:oMath>
      <w:r w:rsidR="001B6F30" w:rsidRPr="001B6F30">
        <w:rPr>
          <w:b/>
          <w:bCs/>
          <w:lang w:val="en-US"/>
        </w:rPr>
        <w:t xml:space="preserve"> enn.</w:t>
      </w:r>
    </w:p>
    <w:p w14:paraId="4FCACEBB" w14:textId="77777777" w:rsidR="005B2EBC" w:rsidRDefault="001B6F30">
      <w:pPr>
        <w:numPr>
          <w:ilvl w:val="0"/>
          <w:numId w:val="39"/>
        </w:numPr>
        <w:tabs>
          <w:tab w:val="clear" w:pos="720"/>
          <w:tab w:val="num" w:pos="1080"/>
        </w:tabs>
        <w:spacing w:after="120" w:line="240" w:lineRule="atLeast"/>
        <w:rPr>
          <w:b/>
          <w:bCs/>
          <w:lang w:val="en-US"/>
        </w:rPr>
      </w:pPr>
      <w:r w:rsidRPr="001B6F30">
        <w:rPr>
          <w:b/>
          <w:bCs/>
          <w:lang w:val="en-US"/>
        </w:rPr>
        <w:t xml:space="preserve">Example: </w:t>
      </w:r>
      <m:oMath>
        <m:r>
          <m:rPr>
            <m:sty m:val="bi"/>
          </m:rPr>
          <w:rPr>
            <w:rFonts w:ascii="Cambria Math" w:hAnsi="Cambria Math"/>
            <w:lang w:val="en-US"/>
          </w:rPr>
          <m:t>Z</m:t>
        </m:r>
        <m:r>
          <m:rPr>
            <m:sty m:val="b"/>
          </m:rPr>
          <w:rPr>
            <w:rFonts w:ascii="Cambria Math" w:hAnsi="Cambria Math"/>
            <w:lang w:val="en-US"/>
          </w:rPr>
          <m:t>=119→</m:t>
        </m:r>
      </m:oMath>
      <w:r w:rsidRPr="001B6F30">
        <w:rPr>
          <w:b/>
          <w:bCs/>
          <w:lang w:val="en-US"/>
        </w:rPr>
        <w:t xml:space="preserve"> Un (1) + un (1) + enn (9) + ium = Ununennium. Symbol: Uue.</w:t>
      </w:r>
      <w:bookmarkStart w:id="17" w:name="c_flashcards_for_memory_reinforcement_3"/>
    </w:p>
    <w:p w14:paraId="3028779D" w14:textId="7CD82622" w:rsidR="00F024DE" w:rsidRPr="00F024DE" w:rsidRDefault="00F024DE" w:rsidP="00F024DE">
      <w:pPr>
        <w:spacing w:after="120" w:line="240" w:lineRule="atLeast"/>
        <w:ind w:left="360"/>
        <w:rPr>
          <w:lang w:val="en-US"/>
        </w:rPr>
      </w:pPr>
      <w:r w:rsidRPr="00F024DE">
        <w:rPr>
          <w:b/>
          <w:bCs/>
          <w:highlight w:val="green"/>
          <w:lang w:val="en-US"/>
        </w:rPr>
        <w:t xml:space="preserve">Mentor insight: </w:t>
      </w:r>
      <w:r w:rsidRPr="00F024DE">
        <w:rPr>
          <w:highlight w:val="green"/>
          <w:lang w:val="en-US"/>
        </w:rPr>
        <w:t>MCQ’s are common from this nomenclature.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